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DD3C" w14:textId="56F7894E" w:rsidR="006730F4" w:rsidRDefault="006730F4" w:rsidP="007B6042">
      <w:pPr>
        <w:spacing w:before="156" w:after="156"/>
        <w:ind w:firstLine="480"/>
        <w:jc w:val="center"/>
        <w:rPr>
          <w:rFonts w:hint="eastAsia"/>
        </w:rPr>
      </w:pPr>
      <w:r>
        <w:rPr>
          <w:rFonts w:hint="eastAsia"/>
        </w:rPr>
        <w:t>国家税务总局关于《个人所得税综合所得汇算清缴管理办法》的解读</w:t>
      </w:r>
    </w:p>
    <w:p w14:paraId="295ED53B" w14:textId="34761D0B" w:rsidR="007B6042" w:rsidRPr="007B6042" w:rsidRDefault="006730F4" w:rsidP="007B6042">
      <w:pPr>
        <w:spacing w:before="156" w:after="156"/>
        <w:ind w:firstLine="480"/>
        <w:rPr>
          <w:rFonts w:hint="eastAsia"/>
        </w:rPr>
      </w:pPr>
      <w:r>
        <w:rPr>
          <w:rFonts w:hint="eastAsia"/>
        </w:rPr>
        <w:t>根据《中华人民共和国个人所得税法》、《中华人民共和国税收征收管理法》和国家有关规定，国家税务总局研究起草了《个人所得税综合所得汇算清缴管理办法》（以下简称《办法》），于</w:t>
      </w:r>
      <w:r>
        <w:rPr>
          <w:rFonts w:hint="eastAsia"/>
        </w:rPr>
        <w:t>2025</w:t>
      </w:r>
      <w:r>
        <w:rPr>
          <w:rFonts w:hint="eastAsia"/>
        </w:rPr>
        <w:t>年</w:t>
      </w:r>
      <w:r>
        <w:rPr>
          <w:rFonts w:hint="eastAsia"/>
        </w:rPr>
        <w:t>1</w:t>
      </w:r>
      <w:r>
        <w:rPr>
          <w:rFonts w:hint="eastAsia"/>
        </w:rPr>
        <w:t>月</w:t>
      </w:r>
      <w:r>
        <w:rPr>
          <w:rFonts w:hint="eastAsia"/>
        </w:rPr>
        <w:t>3</w:t>
      </w:r>
      <w:r>
        <w:rPr>
          <w:rFonts w:hint="eastAsia"/>
        </w:rPr>
        <w:t>日至</w:t>
      </w:r>
      <w:r>
        <w:rPr>
          <w:rFonts w:hint="eastAsia"/>
        </w:rPr>
        <w:t>2</w:t>
      </w:r>
      <w:r>
        <w:rPr>
          <w:rFonts w:hint="eastAsia"/>
        </w:rPr>
        <w:t>月</w:t>
      </w:r>
      <w:r>
        <w:rPr>
          <w:rFonts w:hint="eastAsia"/>
        </w:rPr>
        <w:t>2</w:t>
      </w:r>
      <w:r>
        <w:rPr>
          <w:rFonts w:hint="eastAsia"/>
        </w:rPr>
        <w:t>日正式向社会公开征求意见，认真研究并吸纳有关意见建议后，</w:t>
      </w:r>
      <w:r>
        <w:rPr>
          <w:rFonts w:hint="eastAsia"/>
        </w:rPr>
        <w:t>2025</w:t>
      </w:r>
      <w:r>
        <w:rPr>
          <w:rFonts w:hint="eastAsia"/>
        </w:rPr>
        <w:t>年</w:t>
      </w:r>
      <w:r>
        <w:rPr>
          <w:rFonts w:hint="eastAsia"/>
        </w:rPr>
        <w:t>2</w:t>
      </w:r>
      <w:r>
        <w:rPr>
          <w:rFonts w:hint="eastAsia"/>
        </w:rPr>
        <w:t>月</w:t>
      </w:r>
      <w:r>
        <w:rPr>
          <w:rFonts w:hint="eastAsia"/>
        </w:rPr>
        <w:t>21</w:t>
      </w:r>
      <w:r>
        <w:rPr>
          <w:rFonts w:hint="eastAsia"/>
        </w:rPr>
        <w:t>日国家税务总局第</w:t>
      </w:r>
      <w:r>
        <w:rPr>
          <w:rFonts w:hint="eastAsia"/>
        </w:rPr>
        <w:t>1</w:t>
      </w:r>
      <w:r>
        <w:rPr>
          <w:rFonts w:hint="eastAsia"/>
        </w:rPr>
        <w:t>次局务会议审议通过，</w:t>
      </w:r>
      <w:r w:rsidR="007B6042" w:rsidRPr="007B6042">
        <w:rPr>
          <w:rFonts w:hint="eastAsia"/>
        </w:rPr>
        <w:t>2025</w:t>
      </w:r>
      <w:r w:rsidR="007B6042" w:rsidRPr="007B6042">
        <w:rPr>
          <w:rFonts w:hint="eastAsia"/>
        </w:rPr>
        <w:t>年</w:t>
      </w:r>
      <w:r w:rsidR="007B6042" w:rsidRPr="007B6042">
        <w:rPr>
          <w:rFonts w:hint="eastAsia"/>
        </w:rPr>
        <w:t>2</w:t>
      </w:r>
      <w:r w:rsidR="007B6042" w:rsidRPr="007B6042">
        <w:rPr>
          <w:rFonts w:hint="eastAsia"/>
        </w:rPr>
        <w:t>月</w:t>
      </w:r>
      <w:r w:rsidR="007B6042" w:rsidRPr="007B6042">
        <w:rPr>
          <w:rFonts w:hint="eastAsia"/>
        </w:rPr>
        <w:t>26</w:t>
      </w:r>
      <w:r w:rsidR="007B6042" w:rsidRPr="007B6042">
        <w:rPr>
          <w:rFonts w:hint="eastAsia"/>
        </w:rPr>
        <w:t>日国家税务总局令第</w:t>
      </w:r>
      <w:r w:rsidR="007B6042" w:rsidRPr="007B6042">
        <w:rPr>
          <w:rFonts w:hint="eastAsia"/>
        </w:rPr>
        <w:t>57</w:t>
      </w:r>
      <w:r w:rsidR="007B6042" w:rsidRPr="007B6042">
        <w:rPr>
          <w:rFonts w:hint="eastAsia"/>
        </w:rPr>
        <w:t>号公布、自</w:t>
      </w:r>
      <w:r w:rsidR="007B6042" w:rsidRPr="007B6042">
        <w:rPr>
          <w:rFonts w:hint="eastAsia"/>
        </w:rPr>
        <w:t>2025</w:t>
      </w:r>
      <w:r w:rsidR="007B6042" w:rsidRPr="007B6042">
        <w:rPr>
          <w:rFonts w:hint="eastAsia"/>
        </w:rPr>
        <w:t>年</w:t>
      </w:r>
      <w:r w:rsidR="007B6042" w:rsidRPr="007B6042">
        <w:rPr>
          <w:rFonts w:hint="eastAsia"/>
        </w:rPr>
        <w:t>2</w:t>
      </w:r>
      <w:r w:rsidR="007B6042" w:rsidRPr="007B6042">
        <w:rPr>
          <w:rFonts w:hint="eastAsia"/>
        </w:rPr>
        <w:t>月</w:t>
      </w:r>
      <w:r w:rsidR="007B6042" w:rsidRPr="007B6042">
        <w:rPr>
          <w:rFonts w:hint="eastAsia"/>
        </w:rPr>
        <w:t>26</w:t>
      </w:r>
      <w:r w:rsidR="007B6042" w:rsidRPr="007B6042">
        <w:rPr>
          <w:rFonts w:hint="eastAsia"/>
        </w:rPr>
        <w:t>日施行</w:t>
      </w:r>
      <w:r w:rsidR="00E16DEB">
        <w:rPr>
          <w:rFonts w:hint="eastAsia"/>
        </w:rPr>
        <w:t>。</w:t>
      </w:r>
    </w:p>
    <w:p w14:paraId="0B3A95E2" w14:textId="77777777" w:rsidR="006730F4" w:rsidRDefault="006730F4" w:rsidP="006730F4">
      <w:pPr>
        <w:spacing w:before="156" w:after="156"/>
        <w:ind w:firstLineChars="83" w:firstLine="199"/>
        <w:rPr>
          <w:rFonts w:hint="eastAsia"/>
        </w:rPr>
      </w:pPr>
      <w:r>
        <w:rPr>
          <w:rFonts w:hint="eastAsia"/>
        </w:rPr>
        <w:t xml:space="preserve"> </w:t>
      </w:r>
      <w:r>
        <w:rPr>
          <w:rFonts w:hint="eastAsia"/>
        </w:rPr>
        <w:t>一、出台《办法》的主要背景</w:t>
      </w:r>
    </w:p>
    <w:p w14:paraId="655A7B65" w14:textId="77777777" w:rsidR="006730F4" w:rsidRDefault="006730F4" w:rsidP="006730F4">
      <w:pPr>
        <w:spacing w:before="156" w:after="156"/>
        <w:ind w:firstLineChars="100" w:firstLine="240"/>
        <w:rPr>
          <w:rFonts w:hint="eastAsia"/>
        </w:rPr>
      </w:pPr>
      <w:r>
        <w:rPr>
          <w:rFonts w:hint="eastAsia"/>
        </w:rPr>
        <w:t xml:space="preserve"> 2019</w:t>
      </w:r>
      <w:r>
        <w:rPr>
          <w:rFonts w:hint="eastAsia"/>
        </w:rPr>
        <w:t>年起，我国开始实施综合与分类相结合的新个人所得税制。每年年度终了后，纳税人需对上一年度取得的工资薪金、劳务报酬、稿酬、特许权使用费四项综合所得合并计税，向税务机关办理汇算清缴，结清应退或者应补税款。</w:t>
      </w:r>
      <w:r>
        <w:rPr>
          <w:rFonts w:hint="eastAsia"/>
        </w:rPr>
        <w:t>2019-2023</w:t>
      </w:r>
      <w:r>
        <w:rPr>
          <w:rFonts w:hint="eastAsia"/>
        </w:rPr>
        <w:t>年，税务部门每年均发布办理个人所得税综合所得汇算清缴事项的公告，明确汇算清缴内容、适用情形、办理时间、办理方式、办理渠道、申报信息等事项。在社会各界的共同支持和积极参与下，五次汇算清缴整体平稳，出台更加稳定成型的综合所得汇算清缴管理办法已具备条件。</w:t>
      </w:r>
    </w:p>
    <w:p w14:paraId="43A9032E" w14:textId="61A88588" w:rsidR="006730F4" w:rsidRDefault="006730F4" w:rsidP="006730F4">
      <w:pPr>
        <w:spacing w:before="156" w:after="156"/>
        <w:ind w:firstLine="480"/>
        <w:rPr>
          <w:rFonts w:hint="eastAsia"/>
        </w:rPr>
      </w:pPr>
      <w:r>
        <w:rPr>
          <w:rFonts w:hint="eastAsia"/>
        </w:rPr>
        <w:t>党的二十届三中全会《决定》提出，“完善综合和分类相结合的个人所得税制度”，对规范个人所得税综合所得汇算清缴服务与管理提出了更高要求。为进一步贯彻落实三中全会部署，更好稳定社会预期，推进汇算清缴工作的常态化开展，税务总局以前五次汇算清缴公告内容为主体，在全面回顾和系统总结历次汇算清缴情况的基础上，充分吸纳纳税人以及社会各界提出的意见和建议，起草并出台《办法》。</w:t>
      </w:r>
    </w:p>
    <w:p w14:paraId="6601871C" w14:textId="1917A0EE" w:rsidR="006730F4" w:rsidRDefault="006730F4" w:rsidP="006730F4">
      <w:pPr>
        <w:spacing w:before="156" w:after="156"/>
        <w:ind w:firstLine="480"/>
        <w:rPr>
          <w:rFonts w:hint="eastAsia"/>
        </w:rPr>
      </w:pPr>
      <w:r>
        <w:rPr>
          <w:rFonts w:hint="eastAsia"/>
        </w:rPr>
        <w:lastRenderedPageBreak/>
        <w:t>二、《办法》的主要内容</w:t>
      </w:r>
    </w:p>
    <w:p w14:paraId="4A350425" w14:textId="3A857ADE" w:rsidR="006730F4" w:rsidRDefault="006730F4" w:rsidP="006730F4">
      <w:pPr>
        <w:spacing w:before="156" w:after="156"/>
        <w:ind w:firstLine="480"/>
        <w:rPr>
          <w:rFonts w:hint="eastAsia"/>
        </w:rPr>
      </w:pPr>
      <w:r>
        <w:rPr>
          <w:rFonts w:hint="eastAsia"/>
        </w:rPr>
        <w:t>《办法》总体延续了历年办理个人所得税综合所得汇算清缴事项公告的主要内容，共六章三十七条。主要内容包括：第一章总则，主要明确汇算清缴范围、汇算清缴概念、纳税年度、汇算清缴期限、汇算清缴情形等内容。第二章汇算清缴准备及有关事项填报，主要明确纳税人汇算清缴前需开展的准备工作，可在汇算清缴时填报或补充的扣除、减免税及相关要求，以及异议申诉流程。第三章汇算清缴办理及服务，主要明确汇算清缴办理方式、办理渠道、资料留存、更正申报、主管税务机关、延期申报等内容，以及税务机关为纳税人提供的申报表项目预填服务、预约办理服务、政策解读操作辅导服务等。第四章退（补）税，主要明确汇算清缴退税条件、退税审核、账户要求、补税渠道等内容，对符合条件的纳税人，税务机关提供优先退税服务、简易申报退税服务。第五章管理措施及法律责任，主要明确汇算清缴各方责任、个人所得税纳税记录标注、纳税信用管理、信息保密、责令限期改正、处理处罚等内容，强调纳税人依法享受税收法律救济权。第六章附则，主要明确《办法》生效时间以及不适用《办法》的两类情形。</w:t>
      </w:r>
    </w:p>
    <w:p w14:paraId="40A42941" w14:textId="2DC7572A" w:rsidR="006730F4" w:rsidRDefault="006730F4" w:rsidP="006730F4">
      <w:pPr>
        <w:spacing w:before="156" w:after="156"/>
        <w:ind w:firstLine="480"/>
        <w:rPr>
          <w:rFonts w:hint="eastAsia"/>
        </w:rPr>
      </w:pPr>
      <w:r>
        <w:rPr>
          <w:rFonts w:hint="eastAsia"/>
        </w:rPr>
        <w:t>三、《办法》的主要特点</w:t>
      </w:r>
    </w:p>
    <w:p w14:paraId="46C8A811" w14:textId="5367A8CB" w:rsidR="006730F4" w:rsidRDefault="006730F4" w:rsidP="006730F4">
      <w:pPr>
        <w:spacing w:before="156" w:after="156"/>
        <w:ind w:firstLine="480"/>
        <w:rPr>
          <w:rFonts w:hint="eastAsia"/>
        </w:rPr>
      </w:pPr>
      <w:r>
        <w:rPr>
          <w:rFonts w:hint="eastAsia"/>
        </w:rPr>
        <w:t>《办法》更加注重稳定社会预期，结合近几年的服务和管理实践，将其中实施效果明显、纳税人感受较好的举措以制度形式予以固化，进一步健全汇算清缴服务管理体系。比如，将税务机关提供申报表项目预填服务、汇算清缴初期预约办理服务以及对符合汇算清缴退税条件且生活负担较重的纳税人优先退税服务等举措写入《办法》，方便纳税人快捷办理汇算清缴；再如，《办法》基于部分纳</w:t>
      </w:r>
      <w:r>
        <w:rPr>
          <w:rFonts w:hint="eastAsia"/>
        </w:rPr>
        <w:lastRenderedPageBreak/>
        <w:t>税人在汇算清缴期间对自身收入纳税情况有疑问或存在身份被冒用等情况的，税务机关提供异议申诉渠道。</w:t>
      </w:r>
    </w:p>
    <w:p w14:paraId="45128D09" w14:textId="4AC358F9" w:rsidR="006730F4" w:rsidRDefault="006730F4" w:rsidP="006730F4">
      <w:pPr>
        <w:spacing w:before="156" w:after="156"/>
        <w:ind w:firstLine="480"/>
        <w:rPr>
          <w:rFonts w:hint="eastAsia"/>
        </w:rPr>
      </w:pPr>
      <w:r>
        <w:rPr>
          <w:rFonts w:hint="eastAsia"/>
        </w:rPr>
        <w:t>《办法》更加重视保护纳税人的合法权益，更为清晰界定汇算清缴各方权利义务关系，为汇算清缴服务管理提供了更好的法律保障。比如，《办法》要求税务机关和工作人员应当依法为个人相关涉税信息保密，并列示了纳税人合法权益受到侵犯时的法律救济渠道。</w:t>
      </w:r>
    </w:p>
    <w:p w14:paraId="0D128CE5" w14:textId="43393182" w:rsidR="006730F4" w:rsidRDefault="006730F4" w:rsidP="006730F4">
      <w:pPr>
        <w:spacing w:before="156" w:after="156"/>
        <w:ind w:firstLine="480"/>
        <w:rPr>
          <w:rFonts w:hint="eastAsia"/>
        </w:rPr>
      </w:pPr>
      <w:r>
        <w:rPr>
          <w:rFonts w:hint="eastAsia"/>
        </w:rPr>
        <w:t>《办法》也更加注重方便纳税人详细了解汇算清缴各类事项，指引纳税人做好各项汇算清缴准备。比如，汇算清缴开始前，广大纳税人可及时在个人所得税</w:t>
      </w:r>
      <w:r>
        <w:rPr>
          <w:rFonts w:hint="eastAsia"/>
        </w:rPr>
        <w:t>app</w:t>
      </w:r>
      <w:r>
        <w:rPr>
          <w:rFonts w:hint="eastAsia"/>
        </w:rPr>
        <w:t>中确认填报的联系电话、银行账户等基础信息的有效性；通过个人所得税</w:t>
      </w:r>
      <w:r>
        <w:rPr>
          <w:rFonts w:hint="eastAsia"/>
        </w:rPr>
        <w:t>app</w:t>
      </w:r>
      <w:r>
        <w:rPr>
          <w:rFonts w:hint="eastAsia"/>
        </w:rPr>
        <w:t>或者扣缴义务人查阅确认综合所得、相关扣除、已缴税额等信息的准确性；同时梳理在汇算清缴时填报的有关证据资料。以</w:t>
      </w:r>
      <w:r>
        <w:rPr>
          <w:rFonts w:hint="eastAsia"/>
        </w:rPr>
        <w:t>2024</w:t>
      </w:r>
      <w:r>
        <w:rPr>
          <w:rFonts w:hint="eastAsia"/>
        </w:rPr>
        <w:t>年度个人所得税综合所得汇算清缴为例，本次汇算清缴于</w:t>
      </w:r>
      <w:r>
        <w:rPr>
          <w:rFonts w:hint="eastAsia"/>
        </w:rPr>
        <w:t>2025</w:t>
      </w:r>
      <w:r>
        <w:rPr>
          <w:rFonts w:hint="eastAsia"/>
        </w:rPr>
        <w:t>年</w:t>
      </w:r>
      <w:r>
        <w:rPr>
          <w:rFonts w:hint="eastAsia"/>
        </w:rPr>
        <w:t>3</w:t>
      </w:r>
      <w:r>
        <w:rPr>
          <w:rFonts w:hint="eastAsia"/>
        </w:rPr>
        <w:t>月</w:t>
      </w:r>
      <w:r>
        <w:rPr>
          <w:rFonts w:hint="eastAsia"/>
        </w:rPr>
        <w:t>1</w:t>
      </w:r>
      <w:r>
        <w:rPr>
          <w:rFonts w:hint="eastAsia"/>
        </w:rPr>
        <w:t>日开始。系统也已于</w:t>
      </w:r>
      <w:r>
        <w:rPr>
          <w:rFonts w:hint="eastAsia"/>
        </w:rPr>
        <w:t>2</w:t>
      </w:r>
      <w:r>
        <w:rPr>
          <w:rFonts w:hint="eastAsia"/>
        </w:rPr>
        <w:t>月</w:t>
      </w:r>
      <w:r>
        <w:rPr>
          <w:rFonts w:hint="eastAsia"/>
        </w:rPr>
        <w:t>21</w:t>
      </w:r>
      <w:r>
        <w:rPr>
          <w:rFonts w:hint="eastAsia"/>
        </w:rPr>
        <w:t>日开放预约功能，有在</w:t>
      </w:r>
      <w:r>
        <w:rPr>
          <w:rFonts w:hint="eastAsia"/>
        </w:rPr>
        <w:t>3</w:t>
      </w:r>
      <w:r>
        <w:rPr>
          <w:rFonts w:hint="eastAsia"/>
        </w:rPr>
        <w:t>月</w:t>
      </w:r>
      <w:r>
        <w:rPr>
          <w:rFonts w:hint="eastAsia"/>
        </w:rPr>
        <w:t>1</w:t>
      </w:r>
      <w:r>
        <w:rPr>
          <w:rFonts w:hint="eastAsia"/>
        </w:rPr>
        <w:t>日至</w:t>
      </w:r>
      <w:r>
        <w:rPr>
          <w:rFonts w:hint="eastAsia"/>
        </w:rPr>
        <w:t>20</w:t>
      </w:r>
      <w:r>
        <w:rPr>
          <w:rFonts w:hint="eastAsia"/>
        </w:rPr>
        <w:t>日期间办理汇算清缴需求的纳税人，可通过个人所得税</w:t>
      </w:r>
      <w:r>
        <w:rPr>
          <w:rFonts w:hint="eastAsia"/>
        </w:rPr>
        <w:t>app</w:t>
      </w:r>
      <w:r>
        <w:rPr>
          <w:rFonts w:hint="eastAsia"/>
        </w:rPr>
        <w:t>进行预约。</w:t>
      </w:r>
    </w:p>
    <w:p w14:paraId="59A24F3E" w14:textId="042D1508" w:rsidR="006730F4" w:rsidRDefault="006730F4" w:rsidP="006730F4">
      <w:pPr>
        <w:spacing w:before="156" w:after="156"/>
        <w:ind w:firstLine="480"/>
        <w:rPr>
          <w:rFonts w:hint="eastAsia"/>
        </w:rPr>
      </w:pPr>
      <w:r>
        <w:rPr>
          <w:rFonts w:hint="eastAsia"/>
        </w:rPr>
        <w:t>四、需要说明的问题</w:t>
      </w:r>
    </w:p>
    <w:p w14:paraId="59238A65" w14:textId="508C8E5A" w:rsidR="006730F4" w:rsidRDefault="006730F4" w:rsidP="006730F4">
      <w:pPr>
        <w:spacing w:before="156" w:after="156"/>
        <w:ind w:firstLine="480"/>
        <w:rPr>
          <w:rFonts w:hint="eastAsia"/>
        </w:rPr>
      </w:pPr>
      <w:r>
        <w:rPr>
          <w:rFonts w:hint="eastAsia"/>
        </w:rPr>
        <w:t>（一）关于无需办理汇算清缴的情形</w:t>
      </w:r>
    </w:p>
    <w:p w14:paraId="4097FF1C" w14:textId="3B3DE03F" w:rsidR="006730F4" w:rsidRDefault="006730F4" w:rsidP="006730F4">
      <w:pPr>
        <w:spacing w:before="156" w:after="156"/>
        <w:ind w:firstLine="480"/>
        <w:rPr>
          <w:rFonts w:hint="eastAsia"/>
        </w:rPr>
      </w:pPr>
      <w:r>
        <w:rPr>
          <w:rFonts w:hint="eastAsia"/>
        </w:rPr>
        <w:t>《办法》第六条规定了纳税人取得综合所得且依法预缴个人所得税前提下无需办理汇算清缴的四类情形。其中，“（一）汇算清缴需补税但综合所得收入全年不超过规定金额的；（二）汇算清缴需补税但不超过规定金额的”，主要是指《财政部、税务总局关于延续实施个人所得税综合所得汇算清缴有关政策的公告》（</w:t>
      </w:r>
      <w:r>
        <w:rPr>
          <w:rFonts w:hint="eastAsia"/>
        </w:rPr>
        <w:t>2023</w:t>
      </w:r>
      <w:r>
        <w:rPr>
          <w:rFonts w:hint="eastAsia"/>
        </w:rPr>
        <w:t>年第</w:t>
      </w:r>
      <w:r>
        <w:rPr>
          <w:rFonts w:hint="eastAsia"/>
        </w:rPr>
        <w:t>32</w:t>
      </w:r>
      <w:r>
        <w:rPr>
          <w:rFonts w:hint="eastAsia"/>
        </w:rPr>
        <w:t>号）中规定的“在</w:t>
      </w:r>
      <w:r>
        <w:rPr>
          <w:rFonts w:hint="eastAsia"/>
        </w:rPr>
        <w:t>2027</w:t>
      </w:r>
      <w:r>
        <w:rPr>
          <w:rFonts w:hint="eastAsia"/>
        </w:rPr>
        <w:t>年</w:t>
      </w:r>
      <w:r>
        <w:rPr>
          <w:rFonts w:hint="eastAsia"/>
        </w:rPr>
        <w:t>12</w:t>
      </w:r>
      <w:r>
        <w:rPr>
          <w:rFonts w:hint="eastAsia"/>
        </w:rPr>
        <w:t>月</w:t>
      </w:r>
      <w:r>
        <w:rPr>
          <w:rFonts w:hint="eastAsia"/>
        </w:rPr>
        <w:t>31</w:t>
      </w:r>
      <w:r>
        <w:rPr>
          <w:rFonts w:hint="eastAsia"/>
        </w:rPr>
        <w:t>日前，纳税人取得的综合所</w:t>
      </w:r>
      <w:r>
        <w:rPr>
          <w:rFonts w:hint="eastAsia"/>
        </w:rPr>
        <w:lastRenderedPageBreak/>
        <w:t>得，年度综合所得收入不超过</w:t>
      </w:r>
      <w:r>
        <w:rPr>
          <w:rFonts w:hint="eastAsia"/>
        </w:rPr>
        <w:t>12</w:t>
      </w:r>
      <w:r>
        <w:rPr>
          <w:rFonts w:hint="eastAsia"/>
        </w:rPr>
        <w:t>万元且需要汇算清缴补税的，或者年度汇算清缴补税金额不超过</w:t>
      </w:r>
      <w:r>
        <w:rPr>
          <w:rFonts w:hint="eastAsia"/>
        </w:rPr>
        <w:t>400</w:t>
      </w:r>
      <w:r>
        <w:rPr>
          <w:rFonts w:hint="eastAsia"/>
        </w:rPr>
        <w:t>元的，可免于办理个人所得税综合所得汇算清缴”。</w:t>
      </w:r>
    </w:p>
    <w:p w14:paraId="60C06771" w14:textId="4FD0AAA6" w:rsidR="006730F4" w:rsidRDefault="006730F4" w:rsidP="006730F4">
      <w:pPr>
        <w:spacing w:before="156" w:after="156"/>
        <w:ind w:firstLine="480"/>
        <w:rPr>
          <w:rFonts w:hint="eastAsia"/>
        </w:rPr>
      </w:pPr>
      <w:r>
        <w:rPr>
          <w:rFonts w:hint="eastAsia"/>
        </w:rPr>
        <w:t>（二）关于优先退税服务</w:t>
      </w:r>
    </w:p>
    <w:p w14:paraId="631A34F1" w14:textId="132F9360" w:rsidR="006730F4" w:rsidRDefault="006730F4" w:rsidP="006730F4">
      <w:pPr>
        <w:spacing w:before="156" w:after="156"/>
        <w:ind w:firstLine="480"/>
        <w:rPr>
          <w:rFonts w:hint="eastAsia"/>
        </w:rPr>
      </w:pPr>
      <w:r>
        <w:rPr>
          <w:rFonts w:hint="eastAsia"/>
        </w:rPr>
        <w:t>《办法》第二十三条第二款规定，“对符合汇算清缴退税条件且生活负担较重的纳税人，税务机关提供优先退税服务”。主要是指，对“上有老下有小”、看病负担较重、收入降幅较大以及适用简易申报退税的群体，税务部门将延续执行优先退税制度，为纳税人提供更便捷的退税服务。</w:t>
      </w:r>
    </w:p>
    <w:p w14:paraId="7F63ABBD" w14:textId="23358106" w:rsidR="006730F4" w:rsidRDefault="006730F4" w:rsidP="006730F4">
      <w:pPr>
        <w:spacing w:before="156" w:after="156"/>
        <w:ind w:firstLine="480"/>
        <w:rPr>
          <w:rFonts w:hint="eastAsia"/>
        </w:rPr>
      </w:pPr>
      <w:r>
        <w:rPr>
          <w:rFonts w:hint="eastAsia"/>
        </w:rPr>
        <w:t>（三）关于汇算清缴退税审核提示提醒事项</w:t>
      </w:r>
    </w:p>
    <w:p w14:paraId="16BBBCB0" w14:textId="56A39107" w:rsidR="006730F4" w:rsidRDefault="006730F4" w:rsidP="006730F4">
      <w:pPr>
        <w:spacing w:before="156" w:after="156"/>
        <w:ind w:firstLine="480"/>
        <w:rPr>
          <w:rFonts w:hint="eastAsia"/>
        </w:rPr>
      </w:pPr>
      <w:r>
        <w:rPr>
          <w:rFonts w:hint="eastAsia"/>
        </w:rPr>
        <w:t>《办法》第二十四条第二款规定，“税务机关审核发现退税申请不符合规定，应当通知纳税人补充提供资料或更正汇算清缴申报，纳税人拒不提供资料或者拒不更正申报的，税务机关不予退税”。税务机关在开展退税审核时，发现纳税人退税申请不符合规定的，将通过个人所得税</w:t>
      </w:r>
      <w:r>
        <w:rPr>
          <w:rFonts w:hint="eastAsia"/>
        </w:rPr>
        <w:t>app</w:t>
      </w:r>
      <w:r>
        <w:rPr>
          <w:rFonts w:hint="eastAsia"/>
        </w:rPr>
        <w:t>及网站消息、手机短信、电话等方式向纳税人开展提醒，纳税人接收该消息后，应当及时补充资料或者更正汇算清缴申报，避免影响自身的纳税信用。</w:t>
      </w:r>
    </w:p>
    <w:p w14:paraId="63BD7ED5" w14:textId="5BFFAF2E" w:rsidR="006730F4" w:rsidRDefault="006730F4" w:rsidP="006730F4">
      <w:pPr>
        <w:spacing w:before="156" w:after="156"/>
        <w:ind w:firstLine="480"/>
        <w:rPr>
          <w:rFonts w:hint="eastAsia"/>
        </w:rPr>
      </w:pPr>
      <w:r>
        <w:rPr>
          <w:rFonts w:hint="eastAsia"/>
        </w:rPr>
        <w:t>（四）关于责令限期改正文书送达</w:t>
      </w:r>
    </w:p>
    <w:p w14:paraId="39E382A3" w14:textId="7AF0584A" w:rsidR="006730F4" w:rsidRDefault="006730F4" w:rsidP="006730F4">
      <w:pPr>
        <w:spacing w:before="156" w:after="156"/>
        <w:ind w:firstLine="480"/>
        <w:rPr>
          <w:rFonts w:hint="eastAsia"/>
        </w:rPr>
      </w:pPr>
      <w:r>
        <w:rPr>
          <w:rFonts w:hint="eastAsia"/>
        </w:rPr>
        <w:t>《办法》第三十三条规定，“汇算清缴期结束后，对未申报补税或者未足额补税的纳税人，税务机关依法责令其限期改正并送达相关文书”。对已签订《税务文书电子送达确认书》的，税务机关通过个税</w:t>
      </w:r>
      <w:r>
        <w:rPr>
          <w:rFonts w:hint="eastAsia"/>
        </w:rPr>
        <w:t>app</w:t>
      </w:r>
      <w:r>
        <w:rPr>
          <w:rFonts w:hint="eastAsia"/>
        </w:rPr>
        <w:t>、网站等渠道进行电子文书送达；对未签订《税务文书电子送达确认书》的，以其他方式送达。电子送达与其他送达方式具有同等法律效力。</w:t>
      </w:r>
    </w:p>
    <w:p w14:paraId="20379362" w14:textId="71781441" w:rsidR="006730F4" w:rsidRDefault="006730F4" w:rsidP="006730F4">
      <w:pPr>
        <w:spacing w:before="156" w:after="156"/>
        <w:ind w:firstLine="480"/>
        <w:rPr>
          <w:rFonts w:hint="eastAsia"/>
        </w:rPr>
      </w:pPr>
      <w:r>
        <w:rPr>
          <w:rFonts w:hint="eastAsia"/>
        </w:rPr>
        <w:lastRenderedPageBreak/>
        <w:t>《办法》出台后，税务部门将切实加强汇算清缴办税辅导、完善纳税服务，持续优化个税</w:t>
      </w:r>
      <w:r>
        <w:rPr>
          <w:rFonts w:hint="eastAsia"/>
        </w:rPr>
        <w:t>app</w:t>
      </w:r>
      <w:r>
        <w:rPr>
          <w:rFonts w:hint="eastAsia"/>
        </w:rPr>
        <w:t>各项功能，及时回应、解决纳税人的合理诉求，一如既往地为纳税人提供更好的申报体验。</w:t>
      </w:r>
    </w:p>
    <w:sectPr w:rsidR="006730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93E57" w14:textId="77777777" w:rsidR="00532039" w:rsidRDefault="00532039" w:rsidP="007B6042">
      <w:pPr>
        <w:spacing w:before="120" w:after="120" w:line="240" w:lineRule="auto"/>
        <w:ind w:firstLine="480"/>
        <w:rPr>
          <w:rFonts w:hint="eastAsia"/>
        </w:rPr>
      </w:pPr>
      <w:r>
        <w:separator/>
      </w:r>
    </w:p>
  </w:endnote>
  <w:endnote w:type="continuationSeparator" w:id="0">
    <w:p w14:paraId="1EECD86F" w14:textId="77777777" w:rsidR="00532039" w:rsidRDefault="00532039" w:rsidP="007B6042">
      <w:pPr>
        <w:spacing w:before="120" w:after="120"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8C7D" w14:textId="77777777" w:rsidR="007B6042" w:rsidRDefault="007B6042">
    <w:pPr>
      <w:pStyle w:val="af0"/>
      <w:spacing w:before="120" w:after="12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E3A6" w14:textId="77777777" w:rsidR="007B6042" w:rsidRDefault="007B6042">
    <w:pPr>
      <w:pStyle w:val="af0"/>
      <w:spacing w:before="120" w:after="12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BAA1" w14:textId="77777777" w:rsidR="007B6042" w:rsidRDefault="007B6042">
    <w:pPr>
      <w:pStyle w:val="af0"/>
      <w:spacing w:before="120" w:after="12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57F32" w14:textId="77777777" w:rsidR="00532039" w:rsidRDefault="00532039" w:rsidP="007B6042">
      <w:pPr>
        <w:spacing w:before="120" w:after="120" w:line="240" w:lineRule="auto"/>
        <w:ind w:firstLine="480"/>
        <w:rPr>
          <w:rFonts w:hint="eastAsia"/>
        </w:rPr>
      </w:pPr>
      <w:r>
        <w:separator/>
      </w:r>
    </w:p>
  </w:footnote>
  <w:footnote w:type="continuationSeparator" w:id="0">
    <w:p w14:paraId="699B4493" w14:textId="77777777" w:rsidR="00532039" w:rsidRDefault="00532039" w:rsidP="007B6042">
      <w:pPr>
        <w:spacing w:before="120" w:after="120" w:line="240" w:lineRule="auto"/>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0BB3" w14:textId="77777777" w:rsidR="007B6042" w:rsidRDefault="007B6042">
    <w:pPr>
      <w:pStyle w:val="ae"/>
      <w:spacing w:before="120" w:after="120"/>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1937" w14:textId="77777777" w:rsidR="007B6042" w:rsidRDefault="007B6042">
    <w:pPr>
      <w:pStyle w:val="ae"/>
      <w:spacing w:before="120" w:after="120"/>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27FC" w14:textId="77777777" w:rsidR="007B6042" w:rsidRDefault="007B6042">
    <w:pPr>
      <w:pStyle w:val="ae"/>
      <w:spacing w:before="120" w:after="120"/>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2683"/>
    <w:multiLevelType w:val="hybridMultilevel"/>
    <w:tmpl w:val="06ECDFC2"/>
    <w:lvl w:ilvl="0" w:tplc="9A1CC264">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6CA2526A"/>
    <w:multiLevelType w:val="hybridMultilevel"/>
    <w:tmpl w:val="E1D8AD66"/>
    <w:lvl w:ilvl="0" w:tplc="835E0C5E">
      <w:start w:val="1"/>
      <w:numFmt w:val="decimal"/>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240DF5"/>
    <w:multiLevelType w:val="multilevel"/>
    <w:tmpl w:val="9E64D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896724">
    <w:abstractNumId w:val="0"/>
  </w:num>
  <w:num w:numId="2" w16cid:durableId="1466703766">
    <w:abstractNumId w:val="2"/>
  </w:num>
  <w:num w:numId="3" w16cid:durableId="497615810">
    <w:abstractNumId w:val="2"/>
  </w:num>
  <w:num w:numId="4" w16cid:durableId="50444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F4"/>
    <w:rsid w:val="00042D11"/>
    <w:rsid w:val="0014751E"/>
    <w:rsid w:val="001F0DBD"/>
    <w:rsid w:val="002D69C1"/>
    <w:rsid w:val="00300D14"/>
    <w:rsid w:val="00316A4E"/>
    <w:rsid w:val="00532039"/>
    <w:rsid w:val="005C0924"/>
    <w:rsid w:val="006730F4"/>
    <w:rsid w:val="00690ABD"/>
    <w:rsid w:val="007B6042"/>
    <w:rsid w:val="008D2ECC"/>
    <w:rsid w:val="00BD3EE2"/>
    <w:rsid w:val="00DD3FF6"/>
    <w:rsid w:val="00E16DEB"/>
    <w:rsid w:val="00E25B21"/>
    <w:rsid w:val="00F61493"/>
    <w:rsid w:val="00F7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38EF"/>
  <w15:chartTrackingRefBased/>
  <w15:docId w15:val="{CFE98EAF-2399-40C0-9B8E-41982EC1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D14"/>
    <w:pPr>
      <w:spacing w:beforeLines="50" w:before="50" w:afterLines="50" w:after="50" w:line="420" w:lineRule="auto"/>
      <w:ind w:firstLineChars="200" w:firstLine="200"/>
    </w:pPr>
    <w:rPr>
      <w:rFonts w:eastAsia="方正仿宋_GBK"/>
      <w:sz w:val="24"/>
    </w:rPr>
  </w:style>
  <w:style w:type="paragraph" w:styleId="1">
    <w:name w:val="heading 1"/>
    <w:basedOn w:val="a"/>
    <w:next w:val="a"/>
    <w:link w:val="10"/>
    <w:autoRedefine/>
    <w:uiPriority w:val="9"/>
    <w:qFormat/>
    <w:rsid w:val="0014751E"/>
    <w:pPr>
      <w:keepNext/>
      <w:keepLines/>
      <w:spacing w:before="120" w:after="120" w:line="440" w:lineRule="exact"/>
      <w:outlineLvl w:val="0"/>
    </w:pPr>
    <w:rPr>
      <w:b/>
      <w:bCs/>
      <w:kern w:val="44"/>
      <w:sz w:val="28"/>
      <w:szCs w:val="44"/>
    </w:rPr>
  </w:style>
  <w:style w:type="paragraph" w:styleId="2">
    <w:name w:val="heading 2"/>
    <w:basedOn w:val="a"/>
    <w:next w:val="a"/>
    <w:link w:val="20"/>
    <w:uiPriority w:val="9"/>
    <w:semiHidden/>
    <w:unhideWhenUsed/>
    <w:qFormat/>
    <w:rsid w:val="00673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autoRedefine/>
    <w:uiPriority w:val="9"/>
    <w:unhideWhenUsed/>
    <w:qFormat/>
    <w:rsid w:val="00DD3FF6"/>
    <w:pPr>
      <w:keepNext/>
      <w:keepLines/>
      <w:numPr>
        <w:numId w:val="4"/>
      </w:numPr>
      <w:spacing w:before="156" w:after="156" w:line="480" w:lineRule="atLeast"/>
      <w:contextualSpacing/>
      <w:outlineLvl w:val="2"/>
    </w:pPr>
    <w:rPr>
      <w:rFonts w:eastAsia="宋体"/>
      <w:bCs/>
      <w:szCs w:val="32"/>
    </w:rPr>
  </w:style>
  <w:style w:type="paragraph" w:styleId="4">
    <w:name w:val="heading 4"/>
    <w:basedOn w:val="a"/>
    <w:next w:val="a"/>
    <w:link w:val="40"/>
    <w:uiPriority w:val="9"/>
    <w:semiHidden/>
    <w:unhideWhenUsed/>
    <w:qFormat/>
    <w:rsid w:val="006730F4"/>
    <w:pPr>
      <w:keepNext/>
      <w:keepLines/>
      <w:spacing w:before="80" w:after="40"/>
      <w:outlineLvl w:val="3"/>
    </w:pPr>
    <w:rPr>
      <w:rFonts w:eastAsiaTheme="minorEastAsia" w:cstheme="majorBidi"/>
      <w:color w:val="2F5496" w:themeColor="accent1" w:themeShade="BF"/>
      <w:sz w:val="28"/>
      <w:szCs w:val="28"/>
    </w:rPr>
  </w:style>
  <w:style w:type="paragraph" w:styleId="5">
    <w:name w:val="heading 5"/>
    <w:basedOn w:val="a"/>
    <w:next w:val="a"/>
    <w:link w:val="50"/>
    <w:uiPriority w:val="9"/>
    <w:semiHidden/>
    <w:unhideWhenUsed/>
    <w:qFormat/>
    <w:rsid w:val="006730F4"/>
    <w:pPr>
      <w:keepNext/>
      <w:keepLines/>
      <w:spacing w:before="80" w:after="40"/>
      <w:outlineLvl w:val="4"/>
    </w:pPr>
    <w:rPr>
      <w:rFonts w:eastAsiaTheme="minorEastAsia" w:cstheme="majorBidi"/>
      <w:color w:val="2F5496" w:themeColor="accent1" w:themeShade="BF"/>
      <w:szCs w:val="24"/>
    </w:rPr>
  </w:style>
  <w:style w:type="paragraph" w:styleId="6">
    <w:name w:val="heading 6"/>
    <w:basedOn w:val="a"/>
    <w:next w:val="a"/>
    <w:link w:val="60"/>
    <w:uiPriority w:val="9"/>
    <w:semiHidden/>
    <w:unhideWhenUsed/>
    <w:qFormat/>
    <w:rsid w:val="006730F4"/>
    <w:pPr>
      <w:keepNext/>
      <w:keepLines/>
      <w:spacing w:before="40" w:after="0"/>
      <w:outlineLvl w:val="5"/>
    </w:pPr>
    <w:rPr>
      <w:rFonts w:eastAsiaTheme="minorEastAsia" w:cstheme="majorBidi"/>
      <w:b/>
      <w:bCs/>
      <w:color w:val="2F5496" w:themeColor="accent1" w:themeShade="BF"/>
    </w:rPr>
  </w:style>
  <w:style w:type="paragraph" w:styleId="7">
    <w:name w:val="heading 7"/>
    <w:basedOn w:val="a"/>
    <w:next w:val="a"/>
    <w:link w:val="70"/>
    <w:uiPriority w:val="9"/>
    <w:semiHidden/>
    <w:unhideWhenUsed/>
    <w:qFormat/>
    <w:rsid w:val="006730F4"/>
    <w:pPr>
      <w:keepNext/>
      <w:keepLines/>
      <w:spacing w:before="40" w:after="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6730F4"/>
    <w:pPr>
      <w:keepNext/>
      <w:keepLines/>
      <w:spacing w:before="0" w:after="0"/>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6730F4"/>
    <w:pPr>
      <w:keepNext/>
      <w:keepLines/>
      <w:spacing w:before="0"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D3FF6"/>
    <w:rPr>
      <w:rFonts w:eastAsia="宋体"/>
      <w:bCs/>
      <w:sz w:val="24"/>
      <w:szCs w:val="32"/>
    </w:rPr>
  </w:style>
  <w:style w:type="character" w:customStyle="1" w:styleId="10">
    <w:name w:val="标题 1 字符"/>
    <w:basedOn w:val="a0"/>
    <w:link w:val="1"/>
    <w:uiPriority w:val="9"/>
    <w:rsid w:val="0014751E"/>
    <w:rPr>
      <w:rFonts w:eastAsia="微软雅黑"/>
      <w:b/>
      <w:bCs/>
      <w:kern w:val="44"/>
      <w:sz w:val="28"/>
      <w:szCs w:val="44"/>
    </w:rPr>
  </w:style>
  <w:style w:type="character" w:customStyle="1" w:styleId="20">
    <w:name w:val="标题 2 字符"/>
    <w:basedOn w:val="a0"/>
    <w:link w:val="2"/>
    <w:uiPriority w:val="9"/>
    <w:semiHidden/>
    <w:rsid w:val="006730F4"/>
    <w:rPr>
      <w:rFonts w:asciiTheme="majorHAnsi" w:eastAsiaTheme="majorEastAsia" w:hAnsiTheme="majorHAnsi" w:cstheme="majorBidi"/>
      <w:color w:val="2F5496" w:themeColor="accent1" w:themeShade="BF"/>
      <w:sz w:val="40"/>
      <w:szCs w:val="40"/>
    </w:rPr>
  </w:style>
  <w:style w:type="character" w:customStyle="1" w:styleId="40">
    <w:name w:val="标题 4 字符"/>
    <w:basedOn w:val="a0"/>
    <w:link w:val="4"/>
    <w:uiPriority w:val="9"/>
    <w:semiHidden/>
    <w:rsid w:val="006730F4"/>
    <w:rPr>
      <w:rFonts w:cstheme="majorBidi"/>
      <w:color w:val="2F5496" w:themeColor="accent1" w:themeShade="BF"/>
      <w:sz w:val="28"/>
      <w:szCs w:val="28"/>
    </w:rPr>
  </w:style>
  <w:style w:type="character" w:customStyle="1" w:styleId="50">
    <w:name w:val="标题 5 字符"/>
    <w:basedOn w:val="a0"/>
    <w:link w:val="5"/>
    <w:uiPriority w:val="9"/>
    <w:semiHidden/>
    <w:rsid w:val="006730F4"/>
    <w:rPr>
      <w:rFonts w:cstheme="majorBidi"/>
      <w:color w:val="2F5496" w:themeColor="accent1" w:themeShade="BF"/>
      <w:sz w:val="24"/>
      <w:szCs w:val="24"/>
    </w:rPr>
  </w:style>
  <w:style w:type="character" w:customStyle="1" w:styleId="60">
    <w:name w:val="标题 6 字符"/>
    <w:basedOn w:val="a0"/>
    <w:link w:val="6"/>
    <w:uiPriority w:val="9"/>
    <w:semiHidden/>
    <w:rsid w:val="006730F4"/>
    <w:rPr>
      <w:rFonts w:cstheme="majorBidi"/>
      <w:b/>
      <w:bCs/>
      <w:color w:val="2F5496" w:themeColor="accent1" w:themeShade="BF"/>
      <w:sz w:val="24"/>
    </w:rPr>
  </w:style>
  <w:style w:type="character" w:customStyle="1" w:styleId="70">
    <w:name w:val="标题 7 字符"/>
    <w:basedOn w:val="a0"/>
    <w:link w:val="7"/>
    <w:uiPriority w:val="9"/>
    <w:semiHidden/>
    <w:rsid w:val="006730F4"/>
    <w:rPr>
      <w:rFonts w:cstheme="majorBidi"/>
      <w:b/>
      <w:bCs/>
      <w:color w:val="595959" w:themeColor="text1" w:themeTint="A6"/>
      <w:sz w:val="24"/>
    </w:rPr>
  </w:style>
  <w:style w:type="character" w:customStyle="1" w:styleId="80">
    <w:name w:val="标题 8 字符"/>
    <w:basedOn w:val="a0"/>
    <w:link w:val="8"/>
    <w:uiPriority w:val="9"/>
    <w:semiHidden/>
    <w:rsid w:val="006730F4"/>
    <w:rPr>
      <w:rFonts w:cstheme="majorBidi"/>
      <w:color w:val="595959" w:themeColor="text1" w:themeTint="A6"/>
      <w:sz w:val="24"/>
    </w:rPr>
  </w:style>
  <w:style w:type="character" w:customStyle="1" w:styleId="90">
    <w:name w:val="标题 9 字符"/>
    <w:basedOn w:val="a0"/>
    <w:link w:val="9"/>
    <w:uiPriority w:val="9"/>
    <w:semiHidden/>
    <w:rsid w:val="006730F4"/>
    <w:rPr>
      <w:rFonts w:eastAsiaTheme="majorEastAsia" w:cstheme="majorBidi"/>
      <w:color w:val="595959" w:themeColor="text1" w:themeTint="A6"/>
      <w:sz w:val="24"/>
    </w:rPr>
  </w:style>
  <w:style w:type="paragraph" w:styleId="a3">
    <w:name w:val="Title"/>
    <w:basedOn w:val="a"/>
    <w:next w:val="a"/>
    <w:link w:val="a4"/>
    <w:uiPriority w:val="10"/>
    <w:qFormat/>
    <w:rsid w:val="006730F4"/>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0F4"/>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0F4"/>
    <w:pPr>
      <w:spacing w:before="160" w:after="160"/>
      <w:jc w:val="center"/>
    </w:pPr>
    <w:rPr>
      <w:i/>
      <w:iCs/>
      <w:color w:val="404040" w:themeColor="text1" w:themeTint="BF"/>
    </w:rPr>
  </w:style>
  <w:style w:type="character" w:customStyle="1" w:styleId="a8">
    <w:name w:val="引用 字符"/>
    <w:basedOn w:val="a0"/>
    <w:link w:val="a7"/>
    <w:uiPriority w:val="29"/>
    <w:rsid w:val="006730F4"/>
    <w:rPr>
      <w:rFonts w:eastAsia="方正仿宋_GBK"/>
      <w:i/>
      <w:iCs/>
      <w:color w:val="404040" w:themeColor="text1" w:themeTint="BF"/>
      <w:sz w:val="24"/>
    </w:rPr>
  </w:style>
  <w:style w:type="paragraph" w:styleId="a9">
    <w:name w:val="List Paragraph"/>
    <w:basedOn w:val="a"/>
    <w:uiPriority w:val="34"/>
    <w:qFormat/>
    <w:rsid w:val="006730F4"/>
    <w:pPr>
      <w:ind w:left="720"/>
      <w:contextualSpacing/>
    </w:pPr>
  </w:style>
  <w:style w:type="character" w:styleId="aa">
    <w:name w:val="Intense Emphasis"/>
    <w:basedOn w:val="a0"/>
    <w:uiPriority w:val="21"/>
    <w:qFormat/>
    <w:rsid w:val="006730F4"/>
    <w:rPr>
      <w:i/>
      <w:iCs/>
      <w:color w:val="2F5496" w:themeColor="accent1" w:themeShade="BF"/>
    </w:rPr>
  </w:style>
  <w:style w:type="paragraph" w:styleId="ab">
    <w:name w:val="Intense Quote"/>
    <w:basedOn w:val="a"/>
    <w:next w:val="a"/>
    <w:link w:val="ac"/>
    <w:uiPriority w:val="30"/>
    <w:qFormat/>
    <w:rsid w:val="00673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0F4"/>
    <w:rPr>
      <w:rFonts w:eastAsia="方正仿宋_GBK"/>
      <w:i/>
      <w:iCs/>
      <w:color w:val="2F5496" w:themeColor="accent1" w:themeShade="BF"/>
      <w:sz w:val="24"/>
    </w:rPr>
  </w:style>
  <w:style w:type="character" w:styleId="ad">
    <w:name w:val="Intense Reference"/>
    <w:basedOn w:val="a0"/>
    <w:uiPriority w:val="32"/>
    <w:qFormat/>
    <w:rsid w:val="006730F4"/>
    <w:rPr>
      <w:b/>
      <w:bCs/>
      <w:smallCaps/>
      <w:color w:val="2F5496" w:themeColor="accent1" w:themeShade="BF"/>
      <w:spacing w:val="5"/>
    </w:rPr>
  </w:style>
  <w:style w:type="paragraph" w:styleId="ae">
    <w:name w:val="header"/>
    <w:basedOn w:val="a"/>
    <w:link w:val="af"/>
    <w:uiPriority w:val="99"/>
    <w:unhideWhenUsed/>
    <w:rsid w:val="007B604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B6042"/>
    <w:rPr>
      <w:rFonts w:eastAsia="方正仿宋_GBK"/>
      <w:sz w:val="18"/>
      <w:szCs w:val="18"/>
    </w:rPr>
  </w:style>
  <w:style w:type="paragraph" w:styleId="af0">
    <w:name w:val="footer"/>
    <w:basedOn w:val="a"/>
    <w:link w:val="af1"/>
    <w:uiPriority w:val="99"/>
    <w:unhideWhenUsed/>
    <w:rsid w:val="007B6042"/>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7B6042"/>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758998">
      <w:bodyDiv w:val="1"/>
      <w:marLeft w:val="0"/>
      <w:marRight w:val="0"/>
      <w:marTop w:val="0"/>
      <w:marBottom w:val="0"/>
      <w:divBdr>
        <w:top w:val="none" w:sz="0" w:space="0" w:color="auto"/>
        <w:left w:val="none" w:sz="0" w:space="0" w:color="auto"/>
        <w:bottom w:val="none" w:sz="0" w:space="0" w:color="auto"/>
        <w:right w:val="none" w:sz="0" w:space="0" w:color="auto"/>
      </w:divBdr>
    </w:div>
    <w:div w:id="18589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海燕 唐</dc:creator>
  <cp:keywords/>
  <dc:description/>
  <cp:lastModifiedBy>海燕 唐</cp:lastModifiedBy>
  <cp:revision>5</cp:revision>
  <dcterms:created xsi:type="dcterms:W3CDTF">2025-03-05T01:39:00Z</dcterms:created>
  <dcterms:modified xsi:type="dcterms:W3CDTF">2025-03-05T01:56:00Z</dcterms:modified>
</cp:coreProperties>
</file>