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6263E" w14:textId="77777777" w:rsidR="00E86D31" w:rsidRDefault="00E86D31" w:rsidP="00E86D31">
      <w:pPr>
        <w:spacing w:before="156" w:after="156"/>
        <w:ind w:firstLine="480"/>
        <w:jc w:val="center"/>
        <w:rPr>
          <w:rFonts w:hint="eastAsia"/>
        </w:rPr>
      </w:pPr>
      <w:r>
        <w:rPr>
          <w:rFonts w:hint="eastAsia"/>
        </w:rPr>
        <w:t>2024</w:t>
      </w:r>
      <w:r>
        <w:rPr>
          <w:rFonts w:hint="eastAsia"/>
        </w:rPr>
        <w:t>年度个人所得税综合所得汇算清缴问答</w:t>
      </w:r>
    </w:p>
    <w:p w14:paraId="193EE368" w14:textId="278EEACB" w:rsidR="00E86D31" w:rsidRDefault="00E86D31" w:rsidP="00E86D31">
      <w:pPr>
        <w:spacing w:before="156" w:after="156"/>
        <w:ind w:firstLine="480"/>
        <w:jc w:val="left"/>
        <w:rPr>
          <w:rFonts w:hint="eastAsia"/>
        </w:rPr>
      </w:pPr>
      <w:r w:rsidRPr="00E86D31">
        <w:rPr>
          <w:rFonts w:hint="eastAsia"/>
        </w:rPr>
        <w:t>《个人所得税综合所得汇算清缴管理办法》，已经</w:t>
      </w:r>
      <w:r w:rsidRPr="00E86D31">
        <w:rPr>
          <w:rFonts w:hint="eastAsia"/>
        </w:rPr>
        <w:t>2025</w:t>
      </w:r>
      <w:r w:rsidRPr="00E86D31">
        <w:rPr>
          <w:rFonts w:hint="eastAsia"/>
        </w:rPr>
        <w:t>年</w:t>
      </w:r>
      <w:r w:rsidRPr="00E86D31">
        <w:rPr>
          <w:rFonts w:hint="eastAsia"/>
        </w:rPr>
        <w:t>2</w:t>
      </w:r>
      <w:r w:rsidRPr="00E86D31">
        <w:rPr>
          <w:rFonts w:hint="eastAsia"/>
        </w:rPr>
        <w:t>月</w:t>
      </w:r>
      <w:r w:rsidRPr="00E86D31">
        <w:rPr>
          <w:rFonts w:hint="eastAsia"/>
        </w:rPr>
        <w:t>21</w:t>
      </w:r>
      <w:r w:rsidRPr="00E86D31">
        <w:rPr>
          <w:rFonts w:hint="eastAsia"/>
        </w:rPr>
        <w:t>日国家税务总局</w:t>
      </w:r>
      <w:r w:rsidRPr="00E86D31">
        <w:rPr>
          <w:rFonts w:hint="eastAsia"/>
        </w:rPr>
        <w:t>2025</w:t>
      </w:r>
      <w:r w:rsidRPr="00E86D31">
        <w:rPr>
          <w:rFonts w:hint="eastAsia"/>
        </w:rPr>
        <w:t>年度第</w:t>
      </w:r>
      <w:r w:rsidRPr="00E86D31">
        <w:rPr>
          <w:rFonts w:hint="eastAsia"/>
        </w:rPr>
        <w:t>1</w:t>
      </w:r>
      <w:r w:rsidRPr="00E86D31">
        <w:rPr>
          <w:rFonts w:hint="eastAsia"/>
        </w:rPr>
        <w:t>次局务会议审议通过，</w:t>
      </w:r>
      <w:r w:rsidRPr="00E86D31">
        <w:rPr>
          <w:rFonts w:hint="eastAsia"/>
        </w:rPr>
        <w:t>2025</w:t>
      </w:r>
      <w:r w:rsidRPr="00E86D31">
        <w:rPr>
          <w:rFonts w:hint="eastAsia"/>
        </w:rPr>
        <w:t>年</w:t>
      </w:r>
      <w:r w:rsidRPr="00E86D31">
        <w:rPr>
          <w:rFonts w:hint="eastAsia"/>
        </w:rPr>
        <w:t>2</w:t>
      </w:r>
      <w:r w:rsidRPr="00E86D31">
        <w:rPr>
          <w:rFonts w:hint="eastAsia"/>
        </w:rPr>
        <w:t>月</w:t>
      </w:r>
      <w:r w:rsidRPr="00E86D31">
        <w:rPr>
          <w:rFonts w:hint="eastAsia"/>
        </w:rPr>
        <w:t>26</w:t>
      </w:r>
      <w:r w:rsidRPr="00E86D31">
        <w:rPr>
          <w:rFonts w:hint="eastAsia"/>
        </w:rPr>
        <w:t>日国家税务总局令第</w:t>
      </w:r>
      <w:r w:rsidRPr="00E86D31">
        <w:rPr>
          <w:rFonts w:hint="eastAsia"/>
        </w:rPr>
        <w:t>57</w:t>
      </w:r>
      <w:r w:rsidRPr="00E86D31">
        <w:rPr>
          <w:rFonts w:hint="eastAsia"/>
        </w:rPr>
        <w:t>号公布、自</w:t>
      </w:r>
      <w:r w:rsidRPr="00E86D31">
        <w:rPr>
          <w:rFonts w:hint="eastAsia"/>
        </w:rPr>
        <w:t>2025</w:t>
      </w:r>
      <w:r w:rsidRPr="00E86D31">
        <w:rPr>
          <w:rFonts w:hint="eastAsia"/>
        </w:rPr>
        <w:t>年</w:t>
      </w:r>
      <w:r w:rsidRPr="00E86D31">
        <w:rPr>
          <w:rFonts w:hint="eastAsia"/>
        </w:rPr>
        <w:t>2</w:t>
      </w:r>
      <w:r w:rsidRPr="00E86D31">
        <w:rPr>
          <w:rFonts w:hint="eastAsia"/>
        </w:rPr>
        <w:t>月</w:t>
      </w:r>
      <w:r w:rsidRPr="00E86D31">
        <w:rPr>
          <w:rFonts w:hint="eastAsia"/>
        </w:rPr>
        <w:t>26</w:t>
      </w:r>
      <w:r w:rsidRPr="00E86D31">
        <w:rPr>
          <w:rFonts w:hint="eastAsia"/>
        </w:rPr>
        <w:t>日施行</w:t>
      </w:r>
      <w:r w:rsidR="00B95C48">
        <w:rPr>
          <w:rFonts w:hint="eastAsia"/>
        </w:rPr>
        <w:t>。</w:t>
      </w:r>
    </w:p>
    <w:p w14:paraId="7705D955" w14:textId="77777777" w:rsidR="00E86D31" w:rsidRDefault="00E86D31" w:rsidP="00E86D31">
      <w:pPr>
        <w:spacing w:before="156" w:after="156"/>
        <w:ind w:firstLine="480"/>
        <w:rPr>
          <w:rFonts w:hint="eastAsia"/>
        </w:rPr>
      </w:pPr>
      <w:r>
        <w:rPr>
          <w:rFonts w:hint="eastAsia"/>
        </w:rPr>
        <w:t>一、什么是年度汇算？</w:t>
      </w:r>
    </w:p>
    <w:p w14:paraId="366F96A7" w14:textId="77777777" w:rsidR="00E86D31" w:rsidRDefault="00E86D31" w:rsidP="00E86D31">
      <w:pPr>
        <w:spacing w:before="156" w:after="156"/>
        <w:ind w:firstLine="480"/>
        <w:rPr>
          <w:rFonts w:hint="eastAsia"/>
        </w:rPr>
      </w:pPr>
      <w:r>
        <w:rPr>
          <w:rFonts w:hint="eastAsia"/>
        </w:rPr>
        <w:t>年度汇算指的是年度终了后，纳税人汇总一个纳税年度内取得的综合所得收入额，减除费用六万元以及专项扣除、专项附加扣除、依法确定的其他扣除和符合条件的公益慈善事业捐赠后，适用综合所得个人所得税税率并减去速算扣除数，减去减免税额后计算本年度实际应纳税额，再减去已预缴税额，确定该纳税年度应退或者应补税额，在法定期限内向税务机关办理纳税申报并结清税款的行为。简言之，就是在平时已预缴税款的基础上“查遗补漏，汇总收支，按年算账，多退少补”，这是</w:t>
      </w:r>
      <w:r>
        <w:rPr>
          <w:rFonts w:hint="eastAsia"/>
        </w:rPr>
        <w:t>2019</w:t>
      </w:r>
      <w:r>
        <w:rPr>
          <w:rFonts w:hint="eastAsia"/>
        </w:rPr>
        <w:t>年以后我国建立综合与分类相结合的个人所得税制的内在要求，也是国际通行做法。</w:t>
      </w:r>
    </w:p>
    <w:p w14:paraId="71F35969" w14:textId="77777777" w:rsidR="00E86D31" w:rsidRDefault="00E86D31" w:rsidP="00E86D31">
      <w:pPr>
        <w:spacing w:before="156" w:after="156"/>
        <w:ind w:firstLine="480"/>
        <w:rPr>
          <w:rFonts w:hint="eastAsia"/>
        </w:rPr>
      </w:pPr>
      <w:r>
        <w:rPr>
          <w:rFonts w:hint="eastAsia"/>
        </w:rPr>
        <w:t>需要说明的是：</w:t>
      </w:r>
    </w:p>
    <w:p w14:paraId="1FB9FBB2" w14:textId="77777777" w:rsidR="00E86D31" w:rsidRDefault="00E86D31" w:rsidP="00E86D31">
      <w:pPr>
        <w:spacing w:before="156" w:after="156"/>
        <w:ind w:firstLine="480"/>
        <w:rPr>
          <w:rFonts w:hint="eastAsia"/>
        </w:rPr>
      </w:pPr>
      <w:r>
        <w:rPr>
          <w:rFonts w:hint="eastAsia"/>
        </w:rPr>
        <w:t>第一，年度汇算的主体，仅指依据个人所得税法规定的居民个人。非居民个人，无需办理年度汇算。</w:t>
      </w:r>
    </w:p>
    <w:p w14:paraId="3CF99A88" w14:textId="77777777" w:rsidR="00E86D31" w:rsidRDefault="00E86D31" w:rsidP="00E86D31">
      <w:pPr>
        <w:spacing w:before="156" w:after="156"/>
        <w:ind w:firstLine="480"/>
        <w:rPr>
          <w:rFonts w:hint="eastAsia"/>
        </w:rPr>
      </w:pPr>
      <w:r>
        <w:rPr>
          <w:rFonts w:hint="eastAsia"/>
        </w:rPr>
        <w:t>第二，年度汇算的范围和内容，仅指纳入综合所得范围的工资薪金、劳务报酬、稿酬、特许权使用费等四项所得。利息股息红利所得、财产租赁所得等分类所得均不纳入年度汇算。同时，按照有关文件规定，纳税人取得的可以不并入综合所得计算纳税的收入，也不在年度汇算范围内。</w:t>
      </w:r>
    </w:p>
    <w:p w14:paraId="4EAA1618" w14:textId="77777777" w:rsidR="00E86D31" w:rsidRDefault="00E86D31" w:rsidP="00E86D31">
      <w:pPr>
        <w:spacing w:before="156" w:after="156"/>
        <w:ind w:firstLine="480"/>
        <w:rPr>
          <w:rFonts w:hint="eastAsia"/>
        </w:rPr>
      </w:pPr>
      <w:r>
        <w:rPr>
          <w:rFonts w:hint="eastAsia"/>
        </w:rPr>
        <w:lastRenderedPageBreak/>
        <w:t>二、为什么要办理年度汇算？</w:t>
      </w:r>
    </w:p>
    <w:p w14:paraId="6E1E6385" w14:textId="77777777" w:rsidR="00E86D31" w:rsidRDefault="00E86D31" w:rsidP="00E86D31">
      <w:pPr>
        <w:spacing w:before="156" w:after="156"/>
        <w:ind w:firstLineChars="100" w:firstLine="240"/>
        <w:rPr>
          <w:rFonts w:hint="eastAsia"/>
        </w:rPr>
      </w:pPr>
      <w:r>
        <w:rPr>
          <w:rFonts w:hint="eastAsia"/>
        </w:rPr>
        <w:t xml:space="preserve"> </w:t>
      </w:r>
      <w:r>
        <w:rPr>
          <w:rFonts w:hint="eastAsia"/>
        </w:rPr>
        <w:t>一是通过年度汇算可以更好地保障纳税人合法权益。比如，一些扣除项目，像专项附加扣除中的大病医疗支出，只有年度结束，才能确切地知道全年支出金额，需要在年度汇算来补充享受扣除。</w:t>
      </w:r>
    </w:p>
    <w:p w14:paraId="1EDCC620" w14:textId="77777777" w:rsidR="00E86D31" w:rsidRDefault="00E86D31" w:rsidP="00E86D31">
      <w:pPr>
        <w:spacing w:before="156" w:after="156"/>
        <w:ind w:firstLine="480"/>
        <w:rPr>
          <w:rFonts w:hint="eastAsia"/>
        </w:rPr>
      </w:pPr>
      <w:r>
        <w:rPr>
          <w:rFonts w:hint="eastAsia"/>
        </w:rPr>
        <w:t>二是通过年度汇算可以更加准确地计算纳税人综合所得全年应纳的个人所得税。一般而言，对于取得多种综合所得的纳税人，无论采取怎样的预扣预缴方法，都不可能使其平时已预缴税额与年度应纳税额完全一致，此时两者之间就会产生“差额”，就需要通过年度汇算进行调整。</w:t>
      </w:r>
    </w:p>
    <w:p w14:paraId="16A9872E" w14:textId="77777777" w:rsidR="00E86D31" w:rsidRDefault="00E86D31" w:rsidP="00E86D31">
      <w:pPr>
        <w:spacing w:before="156" w:after="156"/>
        <w:ind w:firstLineChars="183" w:firstLine="439"/>
        <w:rPr>
          <w:rFonts w:hint="eastAsia"/>
        </w:rPr>
      </w:pPr>
      <w:r>
        <w:rPr>
          <w:rFonts w:hint="eastAsia"/>
        </w:rPr>
        <w:t>三、哪些人需要办理年度汇算？</w:t>
      </w:r>
    </w:p>
    <w:p w14:paraId="00B3A31E" w14:textId="77777777" w:rsidR="00E86D31" w:rsidRDefault="00E86D31" w:rsidP="00E86D31">
      <w:pPr>
        <w:spacing w:before="156" w:after="156"/>
        <w:ind w:firstLineChars="100" w:firstLine="240"/>
        <w:rPr>
          <w:rFonts w:hint="eastAsia"/>
        </w:rPr>
      </w:pPr>
      <w:r>
        <w:rPr>
          <w:rFonts w:hint="eastAsia"/>
        </w:rPr>
        <w:t xml:space="preserve"> </w:t>
      </w:r>
      <w:r>
        <w:rPr>
          <w:rFonts w:hint="eastAsia"/>
        </w:rPr>
        <w:t>一般来讲，只要纳税人平时已预缴税额与年度应纳税额不一致，都需要办理年度汇算。依据个人所得税法及其实施条例等相关规定，需要办理年度汇算的情形分为以下几类：</w:t>
      </w:r>
    </w:p>
    <w:p w14:paraId="06855A3E" w14:textId="77777777" w:rsidR="00E86D31" w:rsidRDefault="00E86D31" w:rsidP="00E86D31">
      <w:pPr>
        <w:spacing w:before="156" w:after="156"/>
        <w:ind w:firstLine="480"/>
        <w:rPr>
          <w:rFonts w:hint="eastAsia"/>
        </w:rPr>
      </w:pPr>
      <w:r>
        <w:rPr>
          <w:rFonts w:hint="eastAsia"/>
        </w:rPr>
        <w:t>第一类是预缴税额高于应纳税额，需要申请退税的纳税人。依法申请退税是纳税人的权利。如果纳税人预缴税额大于纳税年度汇算清缴实际应纳税额，就可以在法定时间内申请年度汇算退税。</w:t>
      </w:r>
    </w:p>
    <w:p w14:paraId="44E3B3AC" w14:textId="77777777" w:rsidR="00E86D31" w:rsidRDefault="00E86D31" w:rsidP="00E86D31">
      <w:pPr>
        <w:spacing w:before="156" w:after="156"/>
        <w:ind w:firstLine="480"/>
        <w:rPr>
          <w:rFonts w:hint="eastAsia"/>
        </w:rPr>
      </w:pPr>
      <w:r>
        <w:rPr>
          <w:rFonts w:hint="eastAsia"/>
        </w:rPr>
        <w:t>第二类是预缴税额小于应纳税额，应当补税且补税金额超过</w:t>
      </w:r>
      <w:r>
        <w:rPr>
          <w:rFonts w:hint="eastAsia"/>
        </w:rPr>
        <w:t>400</w:t>
      </w:r>
      <w:r>
        <w:rPr>
          <w:rFonts w:hint="eastAsia"/>
        </w:rPr>
        <w:t>元的纳税人。</w:t>
      </w:r>
    </w:p>
    <w:p w14:paraId="6E70A6D4" w14:textId="77777777" w:rsidR="00E86D31" w:rsidRDefault="00E86D31" w:rsidP="00E86D31">
      <w:pPr>
        <w:spacing w:before="156" w:after="156"/>
        <w:ind w:firstLine="480"/>
        <w:rPr>
          <w:rFonts w:hint="eastAsia"/>
        </w:rPr>
      </w:pPr>
      <w:r>
        <w:rPr>
          <w:rFonts w:hint="eastAsia"/>
        </w:rPr>
        <w:t>第三类是因适用所得项目错误或者扣缴义务人未依法履行扣缴义务、取得综合所得无扣缴义务人等特殊情形，造成年度少申报或者未申报综合所得的纳税人，应当依法据实办理年度汇算。</w:t>
      </w:r>
    </w:p>
    <w:p w14:paraId="72BD0FB2" w14:textId="77777777" w:rsidR="00E86D31" w:rsidRDefault="00E86D31" w:rsidP="00E86D31">
      <w:pPr>
        <w:spacing w:before="156" w:after="156"/>
        <w:ind w:firstLine="480"/>
        <w:rPr>
          <w:rFonts w:hint="eastAsia"/>
        </w:rPr>
      </w:pPr>
      <w:r>
        <w:rPr>
          <w:rFonts w:hint="eastAsia"/>
        </w:rPr>
        <w:lastRenderedPageBreak/>
        <w:t>四、哪些人不需要办理年度汇算？</w:t>
      </w:r>
    </w:p>
    <w:p w14:paraId="5A100318" w14:textId="77777777" w:rsidR="00E86D31" w:rsidRDefault="00E86D31" w:rsidP="00E86D31">
      <w:pPr>
        <w:spacing w:before="156" w:after="156"/>
        <w:ind w:firstLine="480"/>
        <w:rPr>
          <w:rFonts w:hint="eastAsia"/>
        </w:rPr>
      </w:pPr>
      <w:r>
        <w:rPr>
          <w:rFonts w:hint="eastAsia"/>
        </w:rPr>
        <w:t>根据个人所得税法及其实施条例等相关规定，不需要办理年度汇算的情形主要分为以下几类：</w:t>
      </w:r>
    </w:p>
    <w:p w14:paraId="33538B0F" w14:textId="77777777" w:rsidR="00E86D31" w:rsidRDefault="00E86D31" w:rsidP="00E86D31">
      <w:pPr>
        <w:spacing w:before="156" w:after="156"/>
        <w:ind w:firstLine="480"/>
        <w:rPr>
          <w:rFonts w:hint="eastAsia"/>
        </w:rPr>
      </w:pPr>
      <w:r>
        <w:rPr>
          <w:rFonts w:hint="eastAsia"/>
        </w:rPr>
        <w:t>第一类是已预缴税额与年度应纳税额一致的纳税人，这部分纳税人无需退补税，也就不必再办理年度汇算。</w:t>
      </w:r>
    </w:p>
    <w:p w14:paraId="270A8209" w14:textId="77777777" w:rsidR="00E86D31" w:rsidRDefault="00E86D31" w:rsidP="00E86D31">
      <w:pPr>
        <w:spacing w:before="156" w:after="156"/>
        <w:ind w:firstLine="480"/>
        <w:rPr>
          <w:rFonts w:hint="eastAsia"/>
        </w:rPr>
      </w:pPr>
      <w:r>
        <w:rPr>
          <w:rFonts w:hint="eastAsia"/>
        </w:rPr>
        <w:t>第二类是对年度取得综合所得年收入不超过</w:t>
      </w:r>
      <w:r>
        <w:rPr>
          <w:rFonts w:hint="eastAsia"/>
        </w:rPr>
        <w:t>12</w:t>
      </w:r>
      <w:r>
        <w:rPr>
          <w:rFonts w:hint="eastAsia"/>
        </w:rPr>
        <w:t>万元或者补税金额不超过</w:t>
      </w:r>
      <w:r>
        <w:rPr>
          <w:rFonts w:hint="eastAsia"/>
        </w:rPr>
        <w:t>400</w:t>
      </w:r>
      <w:r>
        <w:rPr>
          <w:rFonts w:hint="eastAsia"/>
        </w:rPr>
        <w:t>元的纳税人，免除其年度汇算义务。需要说明的是，纳税人取得综合所得时存在扣缴义务人未依法预扣预缴税款的，不在免予年度汇算的情形之内。</w:t>
      </w:r>
    </w:p>
    <w:p w14:paraId="592B66F7" w14:textId="77777777" w:rsidR="00E86D31" w:rsidRDefault="00E86D31" w:rsidP="00E86D31">
      <w:pPr>
        <w:spacing w:before="156" w:after="156"/>
        <w:ind w:firstLine="480"/>
        <w:rPr>
          <w:rFonts w:hint="eastAsia"/>
        </w:rPr>
      </w:pPr>
      <w:r>
        <w:rPr>
          <w:rFonts w:hint="eastAsia"/>
        </w:rPr>
        <w:t>第三类是已预缴税额大于年度应纳税额的纳税人，如其不申请汇算退税，也无需办理年度汇算。</w:t>
      </w:r>
    </w:p>
    <w:p w14:paraId="7119E772" w14:textId="77777777" w:rsidR="00E86D31" w:rsidRDefault="00E86D31" w:rsidP="00E86D31">
      <w:pPr>
        <w:spacing w:before="156" w:after="156"/>
        <w:ind w:firstLine="480"/>
        <w:rPr>
          <w:rFonts w:hint="eastAsia"/>
        </w:rPr>
      </w:pPr>
      <w:r>
        <w:rPr>
          <w:rFonts w:hint="eastAsia"/>
        </w:rPr>
        <w:t>五、纳税人应在什么时间办理年度汇算？</w:t>
      </w:r>
    </w:p>
    <w:p w14:paraId="09D0F8D4" w14:textId="77777777" w:rsidR="00E86D31" w:rsidRDefault="00E86D31" w:rsidP="00E86D31">
      <w:pPr>
        <w:spacing w:before="156" w:after="156"/>
        <w:ind w:firstLine="480"/>
        <w:rPr>
          <w:rFonts w:hint="eastAsia"/>
        </w:rPr>
      </w:pPr>
      <w:r>
        <w:rPr>
          <w:rFonts w:hint="eastAsia"/>
        </w:rPr>
        <w:t>2024</w:t>
      </w:r>
      <w:r>
        <w:rPr>
          <w:rFonts w:hint="eastAsia"/>
        </w:rPr>
        <w:t>年度汇算的时间是</w:t>
      </w:r>
      <w:r>
        <w:rPr>
          <w:rFonts w:hint="eastAsia"/>
        </w:rPr>
        <w:t>2025</w:t>
      </w:r>
      <w:r>
        <w:rPr>
          <w:rFonts w:hint="eastAsia"/>
        </w:rPr>
        <w:t>年</w:t>
      </w:r>
      <w:r>
        <w:rPr>
          <w:rFonts w:hint="eastAsia"/>
        </w:rPr>
        <w:t>3</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日。其中，在中国境内无住所的纳税人如果提前离境的，可以在离境前办理年度汇算。有汇算初期（</w:t>
      </w:r>
      <w:r>
        <w:rPr>
          <w:rFonts w:hint="eastAsia"/>
        </w:rPr>
        <w:t>3</w:t>
      </w:r>
      <w:r>
        <w:rPr>
          <w:rFonts w:hint="eastAsia"/>
        </w:rPr>
        <w:t>月</w:t>
      </w:r>
      <w:r>
        <w:rPr>
          <w:rFonts w:hint="eastAsia"/>
        </w:rPr>
        <w:t>1</w:t>
      </w:r>
      <w:r>
        <w:rPr>
          <w:rFonts w:hint="eastAsia"/>
        </w:rPr>
        <w:t>日至</w:t>
      </w:r>
      <w:r>
        <w:rPr>
          <w:rFonts w:hint="eastAsia"/>
        </w:rPr>
        <w:t>3</w:t>
      </w:r>
      <w:r>
        <w:rPr>
          <w:rFonts w:hint="eastAsia"/>
        </w:rPr>
        <w:t>月</w:t>
      </w:r>
      <w:r>
        <w:rPr>
          <w:rFonts w:hint="eastAsia"/>
        </w:rPr>
        <w:t>20</w:t>
      </w:r>
      <w:r>
        <w:rPr>
          <w:rFonts w:hint="eastAsia"/>
        </w:rPr>
        <w:t>日）办理需求的纳税人，可以根据自身情况，在</w:t>
      </w:r>
      <w:r>
        <w:rPr>
          <w:rFonts w:hint="eastAsia"/>
        </w:rPr>
        <w:t>2</w:t>
      </w:r>
      <w:r>
        <w:rPr>
          <w:rFonts w:hint="eastAsia"/>
        </w:rPr>
        <w:t>月</w:t>
      </w:r>
      <w:r>
        <w:rPr>
          <w:rFonts w:hint="eastAsia"/>
        </w:rPr>
        <w:t>21</w:t>
      </w:r>
      <w:r>
        <w:rPr>
          <w:rFonts w:hint="eastAsia"/>
        </w:rPr>
        <w:t>日后通过个税</w:t>
      </w:r>
      <w:r>
        <w:rPr>
          <w:rFonts w:hint="eastAsia"/>
        </w:rPr>
        <w:t>app</w:t>
      </w:r>
      <w:r>
        <w:rPr>
          <w:rFonts w:hint="eastAsia"/>
        </w:rPr>
        <w:t>预约上述时间段中的任意一天办理。</w:t>
      </w:r>
      <w:r>
        <w:rPr>
          <w:rFonts w:hint="eastAsia"/>
        </w:rPr>
        <w:t>3</w:t>
      </w:r>
      <w:r>
        <w:rPr>
          <w:rFonts w:hint="eastAsia"/>
        </w:rPr>
        <w:t>月</w:t>
      </w:r>
      <w:r>
        <w:rPr>
          <w:rFonts w:hint="eastAsia"/>
        </w:rPr>
        <w:t>21</w:t>
      </w:r>
      <w:r>
        <w:rPr>
          <w:rFonts w:hint="eastAsia"/>
        </w:rPr>
        <w:t>日至</w:t>
      </w:r>
      <w:r>
        <w:rPr>
          <w:rFonts w:hint="eastAsia"/>
        </w:rPr>
        <w:t>6</w:t>
      </w:r>
      <w:r>
        <w:rPr>
          <w:rFonts w:hint="eastAsia"/>
        </w:rPr>
        <w:t>月</w:t>
      </w:r>
      <w:r>
        <w:rPr>
          <w:rFonts w:hint="eastAsia"/>
        </w:rPr>
        <w:t>30</w:t>
      </w:r>
      <w:r>
        <w:rPr>
          <w:rFonts w:hint="eastAsia"/>
        </w:rPr>
        <w:t>日，纳税人无需预约，可以随时办理。需要说明的是，为帮助纳税人高效便捷、合理有序地完成年度汇算，税务机关、单位将通过一定方式分批分期通知提醒纳税人在确定的时间段内错峰办理，建议纳税人尽量在约定的时间内办理，以免产生办税拥堵，影响办税体验。</w:t>
      </w:r>
    </w:p>
    <w:p w14:paraId="30E68C99" w14:textId="77777777" w:rsidR="00E86D31" w:rsidRDefault="00E86D31" w:rsidP="00E86D31">
      <w:pPr>
        <w:spacing w:before="156" w:after="156"/>
        <w:ind w:firstLine="480"/>
        <w:rPr>
          <w:rFonts w:hint="eastAsia"/>
        </w:rPr>
      </w:pPr>
      <w:r>
        <w:rPr>
          <w:rFonts w:hint="eastAsia"/>
        </w:rPr>
        <w:t>六、年度汇算前纳税人需要做哪些准备？</w:t>
      </w:r>
    </w:p>
    <w:p w14:paraId="17AC8A2C" w14:textId="77777777" w:rsidR="00E86D31" w:rsidRDefault="00E86D31" w:rsidP="00E86D31">
      <w:pPr>
        <w:spacing w:before="156" w:after="156"/>
        <w:ind w:firstLine="480"/>
        <w:rPr>
          <w:rFonts w:hint="eastAsia"/>
        </w:rPr>
      </w:pPr>
      <w:r>
        <w:rPr>
          <w:rFonts w:hint="eastAsia"/>
        </w:rPr>
        <w:lastRenderedPageBreak/>
        <w:t>年度汇算前，纳税人应确认填报的联系电话、银行账户等基础信息的有效性，避免税务部门无法联系或税款缴退库失败。纳税人可通过个人所得税</w:t>
      </w:r>
      <w:r>
        <w:rPr>
          <w:rFonts w:hint="eastAsia"/>
        </w:rPr>
        <w:t>app</w:t>
      </w:r>
      <w:r>
        <w:rPr>
          <w:rFonts w:hint="eastAsia"/>
        </w:rPr>
        <w:t>、自然人电子税务局网站通过“收入纳税明细查询”功能查阅确认综合所得、相关扣除、已缴税额等信息，也可以通过扣缴义务人查阅上述信息。</w:t>
      </w:r>
    </w:p>
    <w:p w14:paraId="513D837D" w14:textId="77777777" w:rsidR="00E86D31" w:rsidRDefault="00E86D31" w:rsidP="00E86D31">
      <w:pPr>
        <w:spacing w:before="156" w:after="156"/>
        <w:ind w:firstLine="480"/>
        <w:rPr>
          <w:rFonts w:hint="eastAsia"/>
        </w:rPr>
      </w:pPr>
      <w:r>
        <w:rPr>
          <w:rFonts w:hint="eastAsia"/>
        </w:rPr>
        <w:t>经查阅，对扣缴义务人申报的综合所得等信息有异议的，纳税人应当先行与扣缴义务人核实确认信息的真实性。确有错误且扣缴义务人拒不更正的，或者存在身份被冒用等情况无法与扣缴义务人取得联系的，纳税人可以通过个税</w:t>
      </w:r>
      <w:r>
        <w:rPr>
          <w:rFonts w:hint="eastAsia"/>
        </w:rPr>
        <w:t>app</w:t>
      </w:r>
      <w:r>
        <w:rPr>
          <w:rFonts w:hint="eastAsia"/>
        </w:rPr>
        <w:t>、自然人电子税务局网站等向税务机关发起申诉。</w:t>
      </w:r>
    </w:p>
    <w:p w14:paraId="3FEA3384" w14:textId="77777777" w:rsidR="00E86D31" w:rsidRDefault="00E86D31" w:rsidP="00E86D31">
      <w:pPr>
        <w:spacing w:before="156" w:after="156"/>
        <w:ind w:firstLine="480"/>
        <w:rPr>
          <w:rFonts w:hint="eastAsia"/>
        </w:rPr>
      </w:pPr>
      <w:r>
        <w:rPr>
          <w:rFonts w:hint="eastAsia"/>
        </w:rPr>
        <w:t>七、纳税人应该如何办理汇算？</w:t>
      </w:r>
    </w:p>
    <w:p w14:paraId="16C73861" w14:textId="77777777" w:rsidR="00E86D31" w:rsidRDefault="00E86D31" w:rsidP="00E86D31">
      <w:pPr>
        <w:spacing w:before="156" w:after="156"/>
        <w:ind w:firstLine="480"/>
        <w:rPr>
          <w:rFonts w:hint="eastAsia"/>
        </w:rPr>
      </w:pPr>
      <w:r>
        <w:rPr>
          <w:rFonts w:hint="eastAsia"/>
        </w:rPr>
        <w:t>汇算主要有三种方式：</w:t>
      </w:r>
    </w:p>
    <w:p w14:paraId="73CAAA84" w14:textId="77777777" w:rsidR="00E86D31" w:rsidRDefault="00E86D31" w:rsidP="00E86D31">
      <w:pPr>
        <w:spacing w:before="156" w:after="156"/>
        <w:ind w:firstLine="480"/>
        <w:rPr>
          <w:rFonts w:hint="eastAsia"/>
        </w:rPr>
      </w:pPr>
      <w:r>
        <w:rPr>
          <w:rFonts w:hint="eastAsia"/>
        </w:rPr>
        <w:t>一是自己办，即纳税人自行办理。税务机关提供了高效、快捷的网络办税渠道，建议纳税人优先选择通过个人所得税</w:t>
      </w:r>
      <w:r>
        <w:rPr>
          <w:rFonts w:hint="eastAsia"/>
        </w:rPr>
        <w:t>app</w:t>
      </w:r>
      <w:r>
        <w:rPr>
          <w:rFonts w:hint="eastAsia"/>
        </w:rPr>
        <w:t>、自然人电子税务局网站办理年度汇算。对于独立完成年度汇算存在困难的年长、行动不便等特殊人群，由纳税人提出申请，税务机关还可以提供个性化年度汇算服务。</w:t>
      </w:r>
    </w:p>
    <w:p w14:paraId="40FC7C85" w14:textId="77777777" w:rsidR="00E86D31" w:rsidRDefault="00E86D31" w:rsidP="00E86D31">
      <w:pPr>
        <w:spacing w:before="156" w:after="156"/>
        <w:ind w:firstLine="480"/>
        <w:rPr>
          <w:rFonts w:hint="eastAsia"/>
        </w:rPr>
      </w:pPr>
      <w:r>
        <w:rPr>
          <w:rFonts w:hint="eastAsia"/>
        </w:rPr>
        <w:t>二是单位办，即请任职受雇单位办理。纳税人向单位提出代办要求的，单位应当办理，或者培训、辅导纳税人通过个税</w:t>
      </w:r>
      <w:r>
        <w:rPr>
          <w:rFonts w:hint="eastAsia"/>
        </w:rPr>
        <w:t>app</w:t>
      </w:r>
      <w:r>
        <w:rPr>
          <w:rFonts w:hint="eastAsia"/>
        </w:rPr>
        <w:t>及网站自行完成年度汇算申报和退（补）税。</w:t>
      </w:r>
    </w:p>
    <w:p w14:paraId="3141C9D1" w14:textId="77777777" w:rsidR="00E86D31" w:rsidRDefault="00E86D31" w:rsidP="00E86D31">
      <w:pPr>
        <w:spacing w:before="156" w:after="156"/>
        <w:ind w:firstLine="480"/>
        <w:rPr>
          <w:rFonts w:hint="eastAsia"/>
        </w:rPr>
      </w:pPr>
      <w:r>
        <w:rPr>
          <w:rFonts w:hint="eastAsia"/>
        </w:rPr>
        <w:t>三是请人办，即委托涉税专业服务机构或其他单位及个人办理。</w:t>
      </w:r>
    </w:p>
    <w:p w14:paraId="43E8260D" w14:textId="77777777" w:rsidR="00E86D31" w:rsidRDefault="00E86D31" w:rsidP="00E86D31">
      <w:pPr>
        <w:spacing w:before="156" w:after="156"/>
        <w:ind w:firstLine="480"/>
        <w:rPr>
          <w:rFonts w:hint="eastAsia"/>
        </w:rPr>
      </w:pPr>
      <w:r>
        <w:rPr>
          <w:rFonts w:hint="eastAsia"/>
        </w:rPr>
        <w:t>八、纳税人办理年度汇算需要提交什么资料？</w:t>
      </w:r>
    </w:p>
    <w:p w14:paraId="3C08935E" w14:textId="77777777" w:rsidR="00E86D31" w:rsidRDefault="00E86D31" w:rsidP="00E86D31">
      <w:pPr>
        <w:spacing w:before="156" w:after="156"/>
        <w:ind w:firstLine="480"/>
        <w:rPr>
          <w:rFonts w:hint="eastAsia"/>
        </w:rPr>
      </w:pPr>
      <w:r>
        <w:rPr>
          <w:rFonts w:hint="eastAsia"/>
        </w:rPr>
        <w:lastRenderedPageBreak/>
        <w:t>纳税人可优先通过个税</w:t>
      </w:r>
      <w:r>
        <w:rPr>
          <w:rFonts w:hint="eastAsia"/>
        </w:rPr>
        <w:t>app</w:t>
      </w:r>
      <w:r>
        <w:rPr>
          <w:rFonts w:hint="eastAsia"/>
        </w:rPr>
        <w:t>及网站办理汇算，税务机关将为纳税人提供申报表项目预填服务，一般情况下无需纳税人提供其他资料。如需修改本人相关基础信息，享受扣除或者税收优惠的，需要按规定一并留存或填报相关信息、提供佐证材料。纳税人需仔细核对，确保所填信息真实、准确、完整。</w:t>
      </w:r>
    </w:p>
    <w:p w14:paraId="300A6467" w14:textId="77777777" w:rsidR="00E86D31" w:rsidRDefault="00E86D31" w:rsidP="00E86D31">
      <w:pPr>
        <w:spacing w:before="156" w:after="156"/>
        <w:ind w:firstLine="480"/>
        <w:rPr>
          <w:rFonts w:hint="eastAsia"/>
        </w:rPr>
      </w:pPr>
      <w:r>
        <w:rPr>
          <w:rFonts w:hint="eastAsia"/>
        </w:rPr>
        <w:t>九、纳税人在汇算期内完成年度汇算有困难，可以延期办理么？</w:t>
      </w:r>
    </w:p>
    <w:p w14:paraId="19BA826F" w14:textId="77777777" w:rsidR="00E86D31" w:rsidRDefault="00E86D31" w:rsidP="00E86D31">
      <w:pPr>
        <w:spacing w:before="156" w:after="156"/>
        <w:ind w:firstLine="480"/>
        <w:rPr>
          <w:rFonts w:hint="eastAsia"/>
        </w:rPr>
      </w:pPr>
      <w:r>
        <w:rPr>
          <w:rFonts w:hint="eastAsia"/>
        </w:rPr>
        <w:t>纳税人确有困难不能在</w:t>
      </w:r>
      <w:r>
        <w:rPr>
          <w:rFonts w:hint="eastAsia"/>
        </w:rPr>
        <w:t>6</w:t>
      </w:r>
      <w:r>
        <w:rPr>
          <w:rFonts w:hint="eastAsia"/>
        </w:rPr>
        <w:t>月</w:t>
      </w:r>
      <w:r>
        <w:rPr>
          <w:rFonts w:hint="eastAsia"/>
        </w:rPr>
        <w:t>30</w:t>
      </w:r>
      <w:r>
        <w:rPr>
          <w:rFonts w:hint="eastAsia"/>
        </w:rPr>
        <w:t>日前完成年度汇算需要延期的，应当在</w:t>
      </w:r>
      <w:r>
        <w:rPr>
          <w:rFonts w:hint="eastAsia"/>
        </w:rPr>
        <w:t>6</w:t>
      </w:r>
      <w:r>
        <w:rPr>
          <w:rFonts w:hint="eastAsia"/>
        </w:rPr>
        <w:t>月</w:t>
      </w:r>
      <w:r>
        <w:rPr>
          <w:rFonts w:hint="eastAsia"/>
        </w:rPr>
        <w:t>30</w:t>
      </w:r>
      <w:r>
        <w:rPr>
          <w:rFonts w:hint="eastAsia"/>
        </w:rPr>
        <w:t>日前向税务机关提出延期申请，经税务机关核准后，可以延期办理；但应在汇算期内按照上一汇算期实际缴纳的税额或者税务机关核定的税额预缴税款，并在核准的延期内完成汇算。</w:t>
      </w:r>
    </w:p>
    <w:p w14:paraId="232AACF3" w14:textId="77777777" w:rsidR="00E86D31" w:rsidRDefault="00E86D31" w:rsidP="00E86D31">
      <w:pPr>
        <w:spacing w:before="156" w:after="156"/>
        <w:ind w:firstLine="480"/>
        <w:rPr>
          <w:rFonts w:hint="eastAsia"/>
        </w:rPr>
      </w:pPr>
      <w:r>
        <w:rPr>
          <w:rFonts w:hint="eastAsia"/>
        </w:rPr>
        <w:t>十、纳税人提交汇算退税申请后，税务机关将如何开展退税审核？</w:t>
      </w:r>
    </w:p>
    <w:p w14:paraId="3739AAD6" w14:textId="77777777" w:rsidR="00E86D31" w:rsidRDefault="00E86D31" w:rsidP="00E86D31">
      <w:pPr>
        <w:spacing w:before="156" w:after="156"/>
        <w:ind w:firstLine="480"/>
        <w:rPr>
          <w:rFonts w:hint="eastAsia"/>
        </w:rPr>
      </w:pPr>
      <w:r>
        <w:rPr>
          <w:rFonts w:hint="eastAsia"/>
        </w:rPr>
        <w:t>纳税人提交退税申请后，税务机关将依法开展退税审核。经审核退税申请符合规定的，将及时发送国库办理退库。经审核发现退税申请不符合规定的，税务机关将通过个税</w:t>
      </w:r>
      <w:r>
        <w:rPr>
          <w:rFonts w:hint="eastAsia"/>
        </w:rPr>
        <w:t>app</w:t>
      </w:r>
      <w:r>
        <w:rPr>
          <w:rFonts w:hint="eastAsia"/>
        </w:rPr>
        <w:t>及网站消息、手机短信、电话等方式向纳税人开展提醒，纳税人接收该消息后，应当及时补充资料或者更正汇算申报，纳税人拒不提供资料或者拒不更正申报的，税务机关不予退税。</w:t>
      </w:r>
    </w:p>
    <w:p w14:paraId="3A5BB54D" w14:textId="77777777" w:rsidR="00E86D31" w:rsidRDefault="00E86D31" w:rsidP="00E86D31">
      <w:pPr>
        <w:spacing w:before="156" w:after="156"/>
        <w:ind w:firstLine="480"/>
        <w:rPr>
          <w:rFonts w:hint="eastAsia"/>
        </w:rPr>
      </w:pPr>
      <w:r>
        <w:rPr>
          <w:rFonts w:hint="eastAsia"/>
        </w:rPr>
        <w:t>十一、年度汇算期结束后，对加强年度汇算监管有哪些措施？</w:t>
      </w:r>
    </w:p>
    <w:p w14:paraId="6B47117A" w14:textId="77777777" w:rsidR="00E86D31" w:rsidRDefault="00E86D31" w:rsidP="00E86D31">
      <w:pPr>
        <w:spacing w:before="156" w:after="156"/>
        <w:ind w:firstLine="480"/>
        <w:rPr>
          <w:rFonts w:hint="eastAsia"/>
        </w:rPr>
      </w:pPr>
      <w:r>
        <w:rPr>
          <w:rFonts w:hint="eastAsia"/>
        </w:rPr>
        <w:t>一是对未申报补税、未足额补税以及虚假或错误填报年度汇算收入、专项附加扣除等情形的纳税人，税务机关依法追缴其不缴或者少缴的税款、加收滞纳金，并在其个人所得税纳税记录中予以标注。</w:t>
      </w:r>
    </w:p>
    <w:p w14:paraId="2076729A" w14:textId="77777777" w:rsidR="00E86D31" w:rsidRDefault="00E86D31" w:rsidP="00E86D31">
      <w:pPr>
        <w:spacing w:before="156" w:after="156"/>
        <w:ind w:firstLine="480"/>
        <w:rPr>
          <w:rFonts w:hint="eastAsia"/>
        </w:rPr>
      </w:pPr>
      <w:r>
        <w:rPr>
          <w:rFonts w:hint="eastAsia"/>
        </w:rPr>
        <w:lastRenderedPageBreak/>
        <w:t>二是对存在未按规定办理纳税申报、不缴或者少缴税款、进行虚假纳税申报、不配合税务检查、虚假承诺等行为，纳入信用信息系统，构成严重失信的，按照有关规定实施失信约束。</w:t>
      </w:r>
    </w:p>
    <w:p w14:paraId="7B174C64" w14:textId="77777777" w:rsidR="00E86D31" w:rsidRDefault="00E86D31" w:rsidP="00E86D31">
      <w:pPr>
        <w:spacing w:before="156" w:after="156"/>
        <w:ind w:firstLine="480"/>
        <w:rPr>
          <w:rFonts w:hint="eastAsia"/>
        </w:rPr>
      </w:pPr>
      <w:r>
        <w:rPr>
          <w:rFonts w:hint="eastAsia"/>
        </w:rPr>
        <w:t>三是汇算清缴期结束后，对未申报补税或者未足额补税的纳税人，税务机关依法责令其限期改正并送达相关文书，逾期仍不改正的，税务机关可依据税收征管法规定处理处罚。情节严重的，予以公开曝光。</w:t>
      </w:r>
    </w:p>
    <w:p w14:paraId="47DA9F59" w14:textId="77777777" w:rsidR="00E86D31" w:rsidRDefault="00E86D31" w:rsidP="00E86D31">
      <w:pPr>
        <w:spacing w:before="156" w:after="156"/>
        <w:ind w:firstLine="480"/>
        <w:rPr>
          <w:rFonts w:hint="eastAsia"/>
        </w:rPr>
      </w:pPr>
      <w:r>
        <w:rPr>
          <w:rFonts w:hint="eastAsia"/>
        </w:rPr>
        <w:t>请广大纳税人依法办理个税汇算，避免影响自己的纳税信用。</w:t>
      </w:r>
    </w:p>
    <w:p w14:paraId="291FFF76" w14:textId="77777777" w:rsidR="00E86D31" w:rsidRDefault="00E86D31" w:rsidP="00E86D31">
      <w:pPr>
        <w:spacing w:before="156" w:after="156"/>
        <w:ind w:firstLine="480"/>
        <w:rPr>
          <w:rFonts w:hint="eastAsia"/>
        </w:rPr>
      </w:pPr>
      <w:r>
        <w:rPr>
          <w:rFonts w:hint="eastAsia"/>
        </w:rPr>
        <w:t>十二、</w:t>
      </w:r>
      <w:r>
        <w:rPr>
          <w:rFonts w:hint="eastAsia"/>
        </w:rPr>
        <w:t>2024</w:t>
      </w:r>
      <w:r>
        <w:rPr>
          <w:rFonts w:hint="eastAsia"/>
        </w:rPr>
        <w:t>年度汇算新推出了哪些优化服务举措？</w:t>
      </w:r>
    </w:p>
    <w:p w14:paraId="4B981B72" w14:textId="77777777" w:rsidR="00E86D31" w:rsidRDefault="00E86D31" w:rsidP="00E86D31">
      <w:pPr>
        <w:spacing w:before="156" w:after="156"/>
        <w:ind w:firstLine="480"/>
        <w:rPr>
          <w:rFonts w:hint="eastAsia"/>
        </w:rPr>
      </w:pPr>
      <w:r>
        <w:rPr>
          <w:rFonts w:hint="eastAsia"/>
        </w:rPr>
        <w:t>在</w:t>
      </w:r>
      <w:r>
        <w:rPr>
          <w:rFonts w:hint="eastAsia"/>
        </w:rPr>
        <w:t>2024</w:t>
      </w:r>
      <w:r>
        <w:rPr>
          <w:rFonts w:hint="eastAsia"/>
        </w:rPr>
        <w:t>年度汇算中，税务部门进一步优化完善纳税服务，推出了以下便利化举措：</w:t>
      </w:r>
    </w:p>
    <w:p w14:paraId="2561CC7E" w14:textId="77777777" w:rsidR="00E86D31" w:rsidRDefault="00E86D31" w:rsidP="00E86D31">
      <w:pPr>
        <w:spacing w:before="156" w:after="156"/>
        <w:ind w:firstLine="480"/>
        <w:rPr>
          <w:rFonts w:hint="eastAsia"/>
        </w:rPr>
      </w:pPr>
      <w:r>
        <w:rPr>
          <w:rFonts w:hint="eastAsia"/>
        </w:rPr>
        <w:t>一是继续做好汇算预约办理服务。合理有序引导纳税人办理汇算，提升纳税人办理体验，在汇算初期提供预约办理服务，纳税人可以通过个税</w:t>
      </w:r>
      <w:r>
        <w:rPr>
          <w:rFonts w:hint="eastAsia"/>
        </w:rPr>
        <w:t>app</w:t>
      </w:r>
      <w:r>
        <w:rPr>
          <w:rFonts w:hint="eastAsia"/>
        </w:rPr>
        <w:t>预约办理。有</w:t>
      </w:r>
      <w:r>
        <w:rPr>
          <w:rFonts w:hint="eastAsia"/>
        </w:rPr>
        <w:t>2024</w:t>
      </w:r>
      <w:r>
        <w:rPr>
          <w:rFonts w:hint="eastAsia"/>
        </w:rPr>
        <w:t>年度汇算初期（</w:t>
      </w:r>
      <w:r>
        <w:rPr>
          <w:rFonts w:hint="eastAsia"/>
        </w:rPr>
        <w:t>3</w:t>
      </w:r>
      <w:r>
        <w:rPr>
          <w:rFonts w:hint="eastAsia"/>
        </w:rPr>
        <w:t>月</w:t>
      </w:r>
      <w:r>
        <w:rPr>
          <w:rFonts w:hint="eastAsia"/>
        </w:rPr>
        <w:t>1</w:t>
      </w:r>
      <w:r>
        <w:rPr>
          <w:rFonts w:hint="eastAsia"/>
        </w:rPr>
        <w:t>日至</w:t>
      </w:r>
      <w:r>
        <w:rPr>
          <w:rFonts w:hint="eastAsia"/>
        </w:rPr>
        <w:t>3</w:t>
      </w:r>
      <w:r>
        <w:rPr>
          <w:rFonts w:hint="eastAsia"/>
        </w:rPr>
        <w:t>月</w:t>
      </w:r>
      <w:r>
        <w:rPr>
          <w:rFonts w:hint="eastAsia"/>
        </w:rPr>
        <w:t>20</w:t>
      </w:r>
      <w:r>
        <w:rPr>
          <w:rFonts w:hint="eastAsia"/>
        </w:rPr>
        <w:t>日）办理需求的纳税人，可以根据自身情况，在</w:t>
      </w:r>
      <w:r>
        <w:rPr>
          <w:rFonts w:hint="eastAsia"/>
        </w:rPr>
        <w:t>2</w:t>
      </w:r>
      <w:r>
        <w:rPr>
          <w:rFonts w:hint="eastAsia"/>
        </w:rPr>
        <w:t>月</w:t>
      </w:r>
      <w:r>
        <w:rPr>
          <w:rFonts w:hint="eastAsia"/>
        </w:rPr>
        <w:t>21</w:t>
      </w:r>
      <w:r>
        <w:rPr>
          <w:rFonts w:hint="eastAsia"/>
        </w:rPr>
        <w:t>日后通过个税</w:t>
      </w:r>
      <w:r>
        <w:rPr>
          <w:rFonts w:hint="eastAsia"/>
        </w:rPr>
        <w:t>app</w:t>
      </w:r>
      <w:r>
        <w:rPr>
          <w:rFonts w:hint="eastAsia"/>
        </w:rPr>
        <w:t>预约上述时间段中的任意一天办理。</w:t>
      </w:r>
      <w:r>
        <w:rPr>
          <w:rFonts w:hint="eastAsia"/>
        </w:rPr>
        <w:t>3</w:t>
      </w:r>
      <w:r>
        <w:rPr>
          <w:rFonts w:hint="eastAsia"/>
        </w:rPr>
        <w:t>月</w:t>
      </w:r>
      <w:r>
        <w:rPr>
          <w:rFonts w:hint="eastAsia"/>
        </w:rPr>
        <w:t>21</w:t>
      </w:r>
      <w:r>
        <w:rPr>
          <w:rFonts w:hint="eastAsia"/>
        </w:rPr>
        <w:t>日至</w:t>
      </w:r>
      <w:r>
        <w:rPr>
          <w:rFonts w:hint="eastAsia"/>
        </w:rPr>
        <w:t>6</w:t>
      </w:r>
      <w:r>
        <w:rPr>
          <w:rFonts w:hint="eastAsia"/>
        </w:rPr>
        <w:t>月</w:t>
      </w:r>
      <w:r>
        <w:rPr>
          <w:rFonts w:hint="eastAsia"/>
        </w:rPr>
        <w:t>30</w:t>
      </w:r>
      <w:r>
        <w:rPr>
          <w:rFonts w:hint="eastAsia"/>
        </w:rPr>
        <w:t>日，纳税人无需预约，可以随时办理。</w:t>
      </w:r>
    </w:p>
    <w:p w14:paraId="33EEBCB7" w14:textId="77777777" w:rsidR="00E86D31" w:rsidRDefault="00E86D31" w:rsidP="00E86D31">
      <w:pPr>
        <w:spacing w:before="156" w:after="156"/>
        <w:ind w:firstLine="480"/>
        <w:rPr>
          <w:rFonts w:hint="eastAsia"/>
        </w:rPr>
      </w:pPr>
      <w:r>
        <w:rPr>
          <w:rFonts w:hint="eastAsia"/>
        </w:rPr>
        <w:t>二是继续实施优先退税服务。对符合汇算退税条件且生活负担较重的纳税人，“上有老下有小”、看病负担较重、收入降幅较大以及年收入额</w:t>
      </w:r>
      <w:r>
        <w:rPr>
          <w:rFonts w:hint="eastAsia"/>
        </w:rPr>
        <w:t>6</w:t>
      </w:r>
      <w:r>
        <w:rPr>
          <w:rFonts w:hint="eastAsia"/>
        </w:rPr>
        <w:t>万元以下且已预缴个人所得税的群体，税务机关为纳税人提供更便捷的优先退税服务。</w:t>
      </w:r>
    </w:p>
    <w:p w14:paraId="68CA8222" w14:textId="77777777" w:rsidR="00E86D31" w:rsidRDefault="00E86D31" w:rsidP="00E86D31">
      <w:pPr>
        <w:spacing w:before="156" w:after="156"/>
        <w:ind w:firstLine="480"/>
        <w:rPr>
          <w:rFonts w:hint="eastAsia"/>
        </w:rPr>
      </w:pPr>
      <w:r>
        <w:rPr>
          <w:rFonts w:hint="eastAsia"/>
        </w:rPr>
        <w:lastRenderedPageBreak/>
        <w:t>三是完善汇算申报表项目预填服务。依托金融监管总局向税务部门共享的商业健康险数据，为纳税人提供商业健康险税优识别码等信息预填服务，为纳税人提供更好的申报体验。</w:t>
      </w:r>
    </w:p>
    <w:p w14:paraId="3BEF4165" w14:textId="77777777" w:rsidR="00E86D31" w:rsidRPr="006730F4" w:rsidRDefault="00E86D31" w:rsidP="00E86D31">
      <w:pPr>
        <w:spacing w:before="156" w:after="156"/>
        <w:ind w:firstLine="480"/>
        <w:rPr>
          <w:rFonts w:hint="eastAsia"/>
        </w:rPr>
      </w:pPr>
      <w:r>
        <w:rPr>
          <w:rFonts w:hint="eastAsia"/>
        </w:rPr>
        <w:t>四是推出全国个人养老金一站式申报扣除服务。</w:t>
      </w:r>
      <w:r>
        <w:rPr>
          <w:rFonts w:hint="eastAsia"/>
        </w:rPr>
        <w:t>2024</w:t>
      </w:r>
      <w:r>
        <w:rPr>
          <w:rFonts w:hint="eastAsia"/>
        </w:rPr>
        <w:t>年</w:t>
      </w:r>
      <w:r>
        <w:rPr>
          <w:rFonts w:hint="eastAsia"/>
        </w:rPr>
        <w:t>12</w:t>
      </w:r>
      <w:r>
        <w:rPr>
          <w:rFonts w:hint="eastAsia"/>
        </w:rPr>
        <w:t>月，个人养老金制度在全国推广实施。按照规定，对个人养老金实施递延纳税优惠政策。为进一步方便纳税人及时享受政策，税务部门与人力资源社会保障部门加强合作，在个人所得税</w:t>
      </w:r>
      <w:r>
        <w:rPr>
          <w:rFonts w:hint="eastAsia"/>
        </w:rPr>
        <w:t>app</w:t>
      </w:r>
      <w:r>
        <w:rPr>
          <w:rFonts w:hint="eastAsia"/>
        </w:rPr>
        <w:t>中实现了个人养老金“一站式”申报功能。可直接获取纳税人在个人养老金管理服务平台的个人养老金缴存信息，无需再下载并录入缴费凭证，让纳税人便捷地申报享受个人养老金个人所得税扣除。</w:t>
      </w:r>
    </w:p>
    <w:p w14:paraId="7A0AEA15" w14:textId="77777777" w:rsidR="00042D11" w:rsidRDefault="00042D11">
      <w:pPr>
        <w:spacing w:before="156" w:after="156"/>
        <w:ind w:firstLine="480"/>
        <w:rPr>
          <w:rFonts w:hint="eastAsia"/>
        </w:rPr>
      </w:pPr>
    </w:p>
    <w:sectPr w:rsidR="00042D1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9673C" w14:textId="77777777" w:rsidR="003B5BE8" w:rsidRDefault="003B5BE8" w:rsidP="00B95C48">
      <w:pPr>
        <w:spacing w:before="120" w:after="120" w:line="240" w:lineRule="auto"/>
        <w:ind w:firstLine="480"/>
        <w:rPr>
          <w:rFonts w:hint="eastAsia"/>
        </w:rPr>
      </w:pPr>
      <w:r>
        <w:separator/>
      </w:r>
    </w:p>
  </w:endnote>
  <w:endnote w:type="continuationSeparator" w:id="0">
    <w:p w14:paraId="30D050BE" w14:textId="77777777" w:rsidR="003B5BE8" w:rsidRDefault="003B5BE8" w:rsidP="00B95C48">
      <w:pPr>
        <w:spacing w:before="120" w:after="120"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297A" w14:textId="77777777" w:rsidR="00B95C48" w:rsidRDefault="00B95C48">
    <w:pPr>
      <w:pStyle w:val="af0"/>
      <w:spacing w:before="120" w:after="12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33BF" w14:textId="77777777" w:rsidR="00B95C48" w:rsidRDefault="00B95C48">
    <w:pPr>
      <w:pStyle w:val="af0"/>
      <w:spacing w:before="120" w:after="12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4A43" w14:textId="77777777" w:rsidR="00B95C48" w:rsidRDefault="00B95C48">
    <w:pPr>
      <w:pStyle w:val="af0"/>
      <w:spacing w:before="120" w:after="12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69BE8" w14:textId="77777777" w:rsidR="003B5BE8" w:rsidRDefault="003B5BE8" w:rsidP="00B95C48">
      <w:pPr>
        <w:spacing w:before="120" w:after="120" w:line="240" w:lineRule="auto"/>
        <w:ind w:firstLine="480"/>
        <w:rPr>
          <w:rFonts w:hint="eastAsia"/>
        </w:rPr>
      </w:pPr>
      <w:r>
        <w:separator/>
      </w:r>
    </w:p>
  </w:footnote>
  <w:footnote w:type="continuationSeparator" w:id="0">
    <w:p w14:paraId="02B3D762" w14:textId="77777777" w:rsidR="003B5BE8" w:rsidRDefault="003B5BE8" w:rsidP="00B95C48">
      <w:pPr>
        <w:spacing w:before="120" w:after="120" w:line="240" w:lineRule="auto"/>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0666" w14:textId="77777777" w:rsidR="00B95C48" w:rsidRDefault="00B95C48">
    <w:pPr>
      <w:pStyle w:val="ae"/>
      <w:spacing w:before="120" w:after="120"/>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3C2C" w14:textId="77777777" w:rsidR="00B95C48" w:rsidRDefault="00B95C48">
    <w:pPr>
      <w:pStyle w:val="ae"/>
      <w:spacing w:before="120" w:after="120"/>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D8BA" w14:textId="77777777" w:rsidR="00B95C48" w:rsidRDefault="00B95C48">
    <w:pPr>
      <w:pStyle w:val="ae"/>
      <w:spacing w:before="120" w:after="120"/>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2683"/>
    <w:multiLevelType w:val="hybridMultilevel"/>
    <w:tmpl w:val="06ECDFC2"/>
    <w:lvl w:ilvl="0" w:tplc="9A1CC264">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6CA2526A"/>
    <w:multiLevelType w:val="hybridMultilevel"/>
    <w:tmpl w:val="E1D8AD66"/>
    <w:lvl w:ilvl="0" w:tplc="835E0C5E">
      <w:start w:val="1"/>
      <w:numFmt w:val="decimal"/>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240DF5"/>
    <w:multiLevelType w:val="multilevel"/>
    <w:tmpl w:val="9E64D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896724">
    <w:abstractNumId w:val="0"/>
  </w:num>
  <w:num w:numId="2" w16cid:durableId="1466703766">
    <w:abstractNumId w:val="2"/>
  </w:num>
  <w:num w:numId="3" w16cid:durableId="497615810">
    <w:abstractNumId w:val="2"/>
  </w:num>
  <w:num w:numId="4" w16cid:durableId="50444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31"/>
    <w:rsid w:val="00042D11"/>
    <w:rsid w:val="0014751E"/>
    <w:rsid w:val="002D69C1"/>
    <w:rsid w:val="00300D14"/>
    <w:rsid w:val="00316A4E"/>
    <w:rsid w:val="003B5BE8"/>
    <w:rsid w:val="00690ABD"/>
    <w:rsid w:val="00B95C48"/>
    <w:rsid w:val="00DD3FF6"/>
    <w:rsid w:val="00E86D31"/>
    <w:rsid w:val="00F6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2C57A"/>
  <w15:chartTrackingRefBased/>
  <w15:docId w15:val="{F07A0C3A-6879-435B-8623-DF269AC1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D31"/>
    <w:pPr>
      <w:spacing w:beforeLines="50" w:before="50" w:afterLines="50" w:after="50" w:line="420" w:lineRule="auto"/>
      <w:ind w:firstLineChars="200" w:firstLine="200"/>
    </w:pPr>
    <w:rPr>
      <w:rFonts w:eastAsia="方正仿宋_GBK"/>
      <w:sz w:val="24"/>
    </w:rPr>
  </w:style>
  <w:style w:type="paragraph" w:styleId="1">
    <w:name w:val="heading 1"/>
    <w:basedOn w:val="a"/>
    <w:next w:val="a"/>
    <w:link w:val="10"/>
    <w:autoRedefine/>
    <w:uiPriority w:val="9"/>
    <w:qFormat/>
    <w:rsid w:val="0014751E"/>
    <w:pPr>
      <w:keepNext/>
      <w:keepLines/>
      <w:spacing w:before="120" w:after="120" w:line="440" w:lineRule="exact"/>
      <w:outlineLvl w:val="0"/>
    </w:pPr>
    <w:rPr>
      <w:b/>
      <w:bCs/>
      <w:kern w:val="44"/>
      <w:sz w:val="28"/>
      <w:szCs w:val="44"/>
    </w:rPr>
  </w:style>
  <w:style w:type="paragraph" w:styleId="2">
    <w:name w:val="heading 2"/>
    <w:basedOn w:val="a"/>
    <w:next w:val="a"/>
    <w:link w:val="20"/>
    <w:uiPriority w:val="9"/>
    <w:semiHidden/>
    <w:unhideWhenUsed/>
    <w:qFormat/>
    <w:rsid w:val="00E86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autoRedefine/>
    <w:uiPriority w:val="9"/>
    <w:unhideWhenUsed/>
    <w:qFormat/>
    <w:rsid w:val="00DD3FF6"/>
    <w:pPr>
      <w:keepNext/>
      <w:keepLines/>
      <w:numPr>
        <w:numId w:val="4"/>
      </w:numPr>
      <w:spacing w:before="156" w:after="156" w:line="480" w:lineRule="atLeast"/>
      <w:contextualSpacing/>
      <w:outlineLvl w:val="2"/>
    </w:pPr>
    <w:rPr>
      <w:rFonts w:eastAsia="宋体"/>
      <w:bCs/>
      <w:szCs w:val="32"/>
    </w:rPr>
  </w:style>
  <w:style w:type="paragraph" w:styleId="4">
    <w:name w:val="heading 4"/>
    <w:basedOn w:val="a"/>
    <w:next w:val="a"/>
    <w:link w:val="40"/>
    <w:uiPriority w:val="9"/>
    <w:semiHidden/>
    <w:unhideWhenUsed/>
    <w:qFormat/>
    <w:rsid w:val="00E86D31"/>
    <w:pPr>
      <w:keepNext/>
      <w:keepLines/>
      <w:spacing w:before="80" w:after="40"/>
      <w:outlineLvl w:val="3"/>
    </w:pPr>
    <w:rPr>
      <w:rFonts w:eastAsiaTheme="minorEastAsia" w:cstheme="majorBidi"/>
      <w:color w:val="2F5496" w:themeColor="accent1" w:themeShade="BF"/>
      <w:sz w:val="28"/>
      <w:szCs w:val="28"/>
    </w:rPr>
  </w:style>
  <w:style w:type="paragraph" w:styleId="5">
    <w:name w:val="heading 5"/>
    <w:basedOn w:val="a"/>
    <w:next w:val="a"/>
    <w:link w:val="50"/>
    <w:uiPriority w:val="9"/>
    <w:semiHidden/>
    <w:unhideWhenUsed/>
    <w:qFormat/>
    <w:rsid w:val="00E86D31"/>
    <w:pPr>
      <w:keepNext/>
      <w:keepLines/>
      <w:spacing w:before="80" w:after="40"/>
      <w:outlineLvl w:val="4"/>
    </w:pPr>
    <w:rPr>
      <w:rFonts w:eastAsiaTheme="minorEastAsia" w:cstheme="majorBidi"/>
      <w:color w:val="2F5496" w:themeColor="accent1" w:themeShade="BF"/>
      <w:szCs w:val="24"/>
    </w:rPr>
  </w:style>
  <w:style w:type="paragraph" w:styleId="6">
    <w:name w:val="heading 6"/>
    <w:basedOn w:val="a"/>
    <w:next w:val="a"/>
    <w:link w:val="60"/>
    <w:uiPriority w:val="9"/>
    <w:semiHidden/>
    <w:unhideWhenUsed/>
    <w:qFormat/>
    <w:rsid w:val="00E86D31"/>
    <w:pPr>
      <w:keepNext/>
      <w:keepLines/>
      <w:spacing w:before="40" w:after="0"/>
      <w:outlineLvl w:val="5"/>
    </w:pPr>
    <w:rPr>
      <w:rFonts w:eastAsiaTheme="minorEastAsia" w:cstheme="majorBidi"/>
      <w:b/>
      <w:bCs/>
      <w:color w:val="2F5496" w:themeColor="accent1" w:themeShade="BF"/>
    </w:rPr>
  </w:style>
  <w:style w:type="paragraph" w:styleId="7">
    <w:name w:val="heading 7"/>
    <w:basedOn w:val="a"/>
    <w:next w:val="a"/>
    <w:link w:val="70"/>
    <w:uiPriority w:val="9"/>
    <w:semiHidden/>
    <w:unhideWhenUsed/>
    <w:qFormat/>
    <w:rsid w:val="00E86D31"/>
    <w:pPr>
      <w:keepNext/>
      <w:keepLines/>
      <w:spacing w:before="40" w:after="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E86D31"/>
    <w:pPr>
      <w:keepNext/>
      <w:keepLines/>
      <w:spacing w:before="0" w:after="0"/>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E86D31"/>
    <w:pPr>
      <w:keepNext/>
      <w:keepLines/>
      <w:spacing w:before="0"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D3FF6"/>
    <w:rPr>
      <w:rFonts w:eastAsia="宋体"/>
      <w:bCs/>
      <w:sz w:val="24"/>
      <w:szCs w:val="32"/>
    </w:rPr>
  </w:style>
  <w:style w:type="character" w:customStyle="1" w:styleId="10">
    <w:name w:val="标题 1 字符"/>
    <w:basedOn w:val="a0"/>
    <w:link w:val="1"/>
    <w:uiPriority w:val="9"/>
    <w:rsid w:val="0014751E"/>
    <w:rPr>
      <w:rFonts w:eastAsia="微软雅黑"/>
      <w:b/>
      <w:bCs/>
      <w:kern w:val="44"/>
      <w:sz w:val="28"/>
      <w:szCs w:val="44"/>
    </w:rPr>
  </w:style>
  <w:style w:type="character" w:customStyle="1" w:styleId="20">
    <w:name w:val="标题 2 字符"/>
    <w:basedOn w:val="a0"/>
    <w:link w:val="2"/>
    <w:uiPriority w:val="9"/>
    <w:semiHidden/>
    <w:rsid w:val="00E86D31"/>
    <w:rPr>
      <w:rFonts w:asciiTheme="majorHAnsi" w:eastAsiaTheme="majorEastAsia" w:hAnsiTheme="majorHAnsi" w:cstheme="majorBidi"/>
      <w:color w:val="2F5496" w:themeColor="accent1" w:themeShade="BF"/>
      <w:sz w:val="40"/>
      <w:szCs w:val="40"/>
    </w:rPr>
  </w:style>
  <w:style w:type="character" w:customStyle="1" w:styleId="40">
    <w:name w:val="标题 4 字符"/>
    <w:basedOn w:val="a0"/>
    <w:link w:val="4"/>
    <w:uiPriority w:val="9"/>
    <w:semiHidden/>
    <w:rsid w:val="00E86D31"/>
    <w:rPr>
      <w:rFonts w:cstheme="majorBidi"/>
      <w:color w:val="2F5496" w:themeColor="accent1" w:themeShade="BF"/>
      <w:sz w:val="28"/>
      <w:szCs w:val="28"/>
    </w:rPr>
  </w:style>
  <w:style w:type="character" w:customStyle="1" w:styleId="50">
    <w:name w:val="标题 5 字符"/>
    <w:basedOn w:val="a0"/>
    <w:link w:val="5"/>
    <w:uiPriority w:val="9"/>
    <w:semiHidden/>
    <w:rsid w:val="00E86D31"/>
    <w:rPr>
      <w:rFonts w:cstheme="majorBidi"/>
      <w:color w:val="2F5496" w:themeColor="accent1" w:themeShade="BF"/>
      <w:sz w:val="24"/>
      <w:szCs w:val="24"/>
    </w:rPr>
  </w:style>
  <w:style w:type="character" w:customStyle="1" w:styleId="60">
    <w:name w:val="标题 6 字符"/>
    <w:basedOn w:val="a0"/>
    <w:link w:val="6"/>
    <w:uiPriority w:val="9"/>
    <w:semiHidden/>
    <w:rsid w:val="00E86D31"/>
    <w:rPr>
      <w:rFonts w:cstheme="majorBidi"/>
      <w:b/>
      <w:bCs/>
      <w:color w:val="2F5496" w:themeColor="accent1" w:themeShade="BF"/>
      <w:sz w:val="24"/>
    </w:rPr>
  </w:style>
  <w:style w:type="character" w:customStyle="1" w:styleId="70">
    <w:name w:val="标题 7 字符"/>
    <w:basedOn w:val="a0"/>
    <w:link w:val="7"/>
    <w:uiPriority w:val="9"/>
    <w:semiHidden/>
    <w:rsid w:val="00E86D31"/>
    <w:rPr>
      <w:rFonts w:cstheme="majorBidi"/>
      <w:b/>
      <w:bCs/>
      <w:color w:val="595959" w:themeColor="text1" w:themeTint="A6"/>
      <w:sz w:val="24"/>
    </w:rPr>
  </w:style>
  <w:style w:type="character" w:customStyle="1" w:styleId="80">
    <w:name w:val="标题 8 字符"/>
    <w:basedOn w:val="a0"/>
    <w:link w:val="8"/>
    <w:uiPriority w:val="9"/>
    <w:semiHidden/>
    <w:rsid w:val="00E86D31"/>
    <w:rPr>
      <w:rFonts w:cstheme="majorBidi"/>
      <w:color w:val="595959" w:themeColor="text1" w:themeTint="A6"/>
      <w:sz w:val="24"/>
    </w:rPr>
  </w:style>
  <w:style w:type="character" w:customStyle="1" w:styleId="90">
    <w:name w:val="标题 9 字符"/>
    <w:basedOn w:val="a0"/>
    <w:link w:val="9"/>
    <w:uiPriority w:val="9"/>
    <w:semiHidden/>
    <w:rsid w:val="00E86D31"/>
    <w:rPr>
      <w:rFonts w:eastAsiaTheme="majorEastAsia" w:cstheme="majorBidi"/>
      <w:color w:val="595959" w:themeColor="text1" w:themeTint="A6"/>
      <w:sz w:val="24"/>
    </w:rPr>
  </w:style>
  <w:style w:type="paragraph" w:styleId="a3">
    <w:name w:val="Title"/>
    <w:basedOn w:val="a"/>
    <w:next w:val="a"/>
    <w:link w:val="a4"/>
    <w:uiPriority w:val="10"/>
    <w:qFormat/>
    <w:rsid w:val="00E86D31"/>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D31"/>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D31"/>
    <w:pPr>
      <w:spacing w:before="160" w:after="160"/>
      <w:jc w:val="center"/>
    </w:pPr>
    <w:rPr>
      <w:i/>
      <w:iCs/>
      <w:color w:val="404040" w:themeColor="text1" w:themeTint="BF"/>
    </w:rPr>
  </w:style>
  <w:style w:type="character" w:customStyle="1" w:styleId="a8">
    <w:name w:val="引用 字符"/>
    <w:basedOn w:val="a0"/>
    <w:link w:val="a7"/>
    <w:uiPriority w:val="29"/>
    <w:rsid w:val="00E86D31"/>
    <w:rPr>
      <w:rFonts w:eastAsia="方正仿宋_GBK"/>
      <w:i/>
      <w:iCs/>
      <w:color w:val="404040" w:themeColor="text1" w:themeTint="BF"/>
      <w:sz w:val="24"/>
    </w:rPr>
  </w:style>
  <w:style w:type="paragraph" w:styleId="a9">
    <w:name w:val="List Paragraph"/>
    <w:basedOn w:val="a"/>
    <w:uiPriority w:val="34"/>
    <w:qFormat/>
    <w:rsid w:val="00E86D31"/>
    <w:pPr>
      <w:ind w:left="720"/>
      <w:contextualSpacing/>
    </w:pPr>
  </w:style>
  <w:style w:type="character" w:styleId="aa">
    <w:name w:val="Intense Emphasis"/>
    <w:basedOn w:val="a0"/>
    <w:uiPriority w:val="21"/>
    <w:qFormat/>
    <w:rsid w:val="00E86D31"/>
    <w:rPr>
      <w:i/>
      <w:iCs/>
      <w:color w:val="2F5496" w:themeColor="accent1" w:themeShade="BF"/>
    </w:rPr>
  </w:style>
  <w:style w:type="paragraph" w:styleId="ab">
    <w:name w:val="Intense Quote"/>
    <w:basedOn w:val="a"/>
    <w:next w:val="a"/>
    <w:link w:val="ac"/>
    <w:uiPriority w:val="30"/>
    <w:qFormat/>
    <w:rsid w:val="00E86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D31"/>
    <w:rPr>
      <w:rFonts w:eastAsia="方正仿宋_GBK"/>
      <w:i/>
      <w:iCs/>
      <w:color w:val="2F5496" w:themeColor="accent1" w:themeShade="BF"/>
      <w:sz w:val="24"/>
    </w:rPr>
  </w:style>
  <w:style w:type="character" w:styleId="ad">
    <w:name w:val="Intense Reference"/>
    <w:basedOn w:val="a0"/>
    <w:uiPriority w:val="32"/>
    <w:qFormat/>
    <w:rsid w:val="00E86D31"/>
    <w:rPr>
      <w:b/>
      <w:bCs/>
      <w:smallCaps/>
      <w:color w:val="2F5496" w:themeColor="accent1" w:themeShade="BF"/>
      <w:spacing w:val="5"/>
    </w:rPr>
  </w:style>
  <w:style w:type="paragraph" w:styleId="ae">
    <w:name w:val="header"/>
    <w:basedOn w:val="a"/>
    <w:link w:val="af"/>
    <w:uiPriority w:val="99"/>
    <w:unhideWhenUsed/>
    <w:rsid w:val="00B95C4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95C48"/>
    <w:rPr>
      <w:rFonts w:eastAsia="方正仿宋_GBK"/>
      <w:sz w:val="18"/>
      <w:szCs w:val="18"/>
    </w:rPr>
  </w:style>
  <w:style w:type="paragraph" w:styleId="af0">
    <w:name w:val="footer"/>
    <w:basedOn w:val="a"/>
    <w:link w:val="af1"/>
    <w:uiPriority w:val="99"/>
    <w:unhideWhenUsed/>
    <w:rsid w:val="00B95C48"/>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B95C4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海燕 唐</dc:creator>
  <cp:keywords/>
  <dc:description/>
  <cp:lastModifiedBy>海燕 唐</cp:lastModifiedBy>
  <cp:revision>2</cp:revision>
  <dcterms:created xsi:type="dcterms:W3CDTF">2025-03-05T01:41:00Z</dcterms:created>
  <dcterms:modified xsi:type="dcterms:W3CDTF">2025-03-05T03:07:00Z</dcterms:modified>
</cp:coreProperties>
</file>